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8B9A74" w14:textId="6F31BDE8" w:rsidR="00350D20" w:rsidRPr="005009CE" w:rsidRDefault="00350D20" w:rsidP="00AD3BA8">
      <w:pPr>
        <w:pStyle w:val="1"/>
        <w:spacing w:line="400" w:lineRule="exact"/>
        <w:rPr>
          <w:rFonts w:ascii="新細明體" w:eastAsia="新細明體" w:cs="Times New Roman"/>
          <w:color w:val="000000"/>
        </w:rPr>
      </w:pPr>
      <w:r w:rsidRPr="005009CE">
        <w:rPr>
          <w:rFonts w:ascii="新細明體" w:eastAsia="新細明體" w:cs="新細明體" w:hint="eastAsia"/>
          <w:color w:val="000000"/>
        </w:rPr>
        <w:t>證券商內部控制制度標準規範</w:t>
      </w:r>
      <w:proofErr w:type="gramStart"/>
      <w:r w:rsidR="00AD7491" w:rsidRPr="005009CE">
        <w:rPr>
          <w:rFonts w:ascii="新細明體" w:eastAsia="新細明體" w:cs="新細明體" w:hint="eastAsia"/>
          <w:color w:val="000000"/>
        </w:rPr>
        <w:t>─</w:t>
      </w:r>
      <w:proofErr w:type="gramEnd"/>
      <w:r w:rsidRPr="005009CE">
        <w:rPr>
          <w:rFonts w:ascii="新細明體" w:eastAsia="新細明體" w:cs="新細明體" w:hint="eastAsia"/>
          <w:color w:val="000000"/>
        </w:rPr>
        <w:t>內部稽核實施細則</w:t>
      </w:r>
      <w:r w:rsidR="00A055B3" w:rsidRPr="005009CE">
        <w:rPr>
          <w:rFonts w:ascii="新細明體" w:eastAsia="新細明體" w:cs="新細明體" w:hint="eastAsia"/>
          <w:color w:val="000000"/>
        </w:rPr>
        <w:t>修</w:t>
      </w:r>
      <w:r w:rsidR="0041234B" w:rsidRPr="005009CE">
        <w:rPr>
          <w:rFonts w:ascii="新細明體" w:eastAsia="新細明體" w:cs="新細明體" w:hint="eastAsia"/>
        </w:rPr>
        <w:t>正</w:t>
      </w:r>
      <w:r w:rsidR="00A055B3" w:rsidRPr="005009CE">
        <w:rPr>
          <w:rFonts w:ascii="新細明體" w:eastAsia="新細明體" w:cs="新細明體" w:hint="eastAsia"/>
          <w:color w:val="000000"/>
        </w:rPr>
        <w:t>對照表</w:t>
      </w:r>
    </w:p>
    <w:tbl>
      <w:tblPr>
        <w:tblW w:w="1497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68"/>
        <w:gridCol w:w="1440"/>
        <w:gridCol w:w="5146"/>
        <w:gridCol w:w="5147"/>
        <w:gridCol w:w="2377"/>
      </w:tblGrid>
      <w:tr w:rsidR="00350D20" w:rsidRPr="005009CE" w14:paraId="7ACDADD4" w14:textId="77777777" w:rsidTr="0043269E">
        <w:trPr>
          <w:trHeight w:val="500"/>
          <w:tblHeader/>
        </w:trPr>
        <w:tc>
          <w:tcPr>
            <w:tcW w:w="868" w:type="dxa"/>
            <w:tcBorders>
              <w:top w:val="single" w:sz="12" w:space="0" w:color="auto"/>
            </w:tcBorders>
            <w:vAlign w:val="center"/>
          </w:tcPr>
          <w:p w14:paraId="10B1164E" w14:textId="77777777"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編號</w:t>
            </w:r>
          </w:p>
        </w:tc>
        <w:tc>
          <w:tcPr>
            <w:tcW w:w="1440" w:type="dxa"/>
            <w:tcBorders>
              <w:top w:val="single" w:sz="12" w:space="0" w:color="auto"/>
            </w:tcBorders>
            <w:vAlign w:val="center"/>
          </w:tcPr>
          <w:p w14:paraId="74B170B8" w14:textId="77777777"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作業項目</w:t>
            </w:r>
          </w:p>
        </w:tc>
        <w:tc>
          <w:tcPr>
            <w:tcW w:w="5146" w:type="dxa"/>
            <w:tcBorders>
              <w:top w:val="single" w:sz="12" w:space="0" w:color="auto"/>
            </w:tcBorders>
            <w:vAlign w:val="center"/>
          </w:tcPr>
          <w:p w14:paraId="563E407F" w14:textId="2164CA65"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 xml:space="preserve">修　</w:t>
            </w:r>
            <w:r w:rsidR="00647909" w:rsidRPr="005009CE">
              <w:rPr>
                <w:rFonts w:ascii="新細明體" w:eastAsia="新細明體" w:cs="新細明體" w:hint="eastAsia"/>
                <w:color w:val="000000"/>
              </w:rPr>
              <w:t>正</w:t>
            </w:r>
            <w:r w:rsidRPr="005009CE">
              <w:rPr>
                <w:rFonts w:ascii="新細明體" w:eastAsia="新細明體" w:cs="新細明體" w:hint="eastAsia"/>
                <w:color w:val="000000"/>
              </w:rPr>
              <w:t xml:space="preserve">　後　內　容</w:t>
            </w:r>
          </w:p>
        </w:tc>
        <w:tc>
          <w:tcPr>
            <w:tcW w:w="5147" w:type="dxa"/>
            <w:tcBorders>
              <w:top w:val="single" w:sz="12" w:space="0" w:color="auto"/>
            </w:tcBorders>
            <w:vAlign w:val="center"/>
          </w:tcPr>
          <w:p w14:paraId="2D3D3981" w14:textId="39B63EF4"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 xml:space="preserve">修　</w:t>
            </w:r>
            <w:r w:rsidR="00647909" w:rsidRPr="005009CE">
              <w:rPr>
                <w:rFonts w:ascii="新細明體" w:eastAsia="新細明體" w:cs="新細明體" w:hint="eastAsia"/>
                <w:color w:val="000000"/>
              </w:rPr>
              <w:t>正</w:t>
            </w:r>
            <w:r w:rsidRPr="005009CE">
              <w:rPr>
                <w:rFonts w:ascii="新細明體" w:eastAsia="新細明體" w:cs="新細明體" w:hint="eastAsia"/>
                <w:color w:val="000000"/>
              </w:rPr>
              <w:t xml:space="preserve">　前　內　容</w:t>
            </w:r>
          </w:p>
        </w:tc>
        <w:tc>
          <w:tcPr>
            <w:tcW w:w="2377" w:type="dxa"/>
            <w:tcBorders>
              <w:top w:val="single" w:sz="12" w:space="0" w:color="auto"/>
            </w:tcBorders>
            <w:vAlign w:val="center"/>
          </w:tcPr>
          <w:p w14:paraId="20D3DCE3" w14:textId="77777777" w:rsidR="00350D20" w:rsidRPr="005009CE" w:rsidRDefault="00350D20" w:rsidP="00AD3BA8">
            <w:pPr>
              <w:spacing w:line="400" w:lineRule="exact"/>
              <w:ind w:left="28" w:right="28"/>
              <w:jc w:val="center"/>
              <w:rPr>
                <w:rFonts w:ascii="新細明體" w:eastAsia="新細明體" w:cs="Times New Roman"/>
                <w:color w:val="000000"/>
              </w:rPr>
            </w:pPr>
            <w:r w:rsidRPr="005009CE">
              <w:rPr>
                <w:rFonts w:ascii="新細明體" w:eastAsia="新細明體" w:cs="新細明體" w:hint="eastAsia"/>
                <w:color w:val="000000"/>
              </w:rPr>
              <w:t>修訂說明</w:t>
            </w:r>
          </w:p>
        </w:tc>
      </w:tr>
      <w:tr w:rsidR="00805512" w14:paraId="251307BE" w14:textId="77777777" w:rsidTr="002F5976">
        <w:trPr>
          <w:trHeight w:val="8504"/>
        </w:trPr>
        <w:tc>
          <w:tcPr>
            <w:tcW w:w="868" w:type="dxa"/>
            <w:tcBorders>
              <w:top w:val="single" w:sz="12" w:space="0" w:color="auto"/>
            </w:tcBorders>
          </w:tcPr>
          <w:p w14:paraId="4503B0F3" w14:textId="30359EAD" w:rsidR="00805512" w:rsidRPr="005009CE" w:rsidRDefault="00805512" w:rsidP="00805512">
            <w:pPr>
              <w:spacing w:line="240" w:lineRule="auto"/>
              <w:ind w:left="28" w:right="28"/>
              <w:rPr>
                <w:rFonts w:ascii="新細明體" w:eastAsia="新細明體" w:cs="新細明體"/>
                <w:color w:val="000000"/>
              </w:rPr>
            </w:pPr>
            <w:r w:rsidRPr="005009CE">
              <w:rPr>
                <w:rFonts w:ascii="新細明體" w:eastAsia="新細明體" w:cs="新細明體"/>
                <w:color w:val="000000"/>
              </w:rPr>
              <w:t>AA-</w:t>
            </w:r>
            <w:r w:rsidRPr="005009CE">
              <w:rPr>
                <w:rFonts w:ascii="新細明體" w:eastAsia="新細明體" w:hAnsi="新細明體" w:cs="新細明體"/>
                <w:color w:val="000000"/>
              </w:rPr>
              <w:t>11</w:t>
            </w:r>
            <w:r w:rsidR="005836E4">
              <w:rPr>
                <w:rFonts w:ascii="新細明體" w:eastAsia="新細明體" w:hAnsi="新細明體" w:cs="新細明體" w:hint="eastAsia"/>
                <w:color w:val="000000"/>
              </w:rPr>
              <w:t>800</w:t>
            </w:r>
          </w:p>
        </w:tc>
        <w:tc>
          <w:tcPr>
            <w:tcW w:w="1440" w:type="dxa"/>
            <w:tcBorders>
              <w:top w:val="single" w:sz="12" w:space="0" w:color="auto"/>
            </w:tcBorders>
          </w:tcPr>
          <w:p w14:paraId="2C595D4D" w14:textId="5EA48062" w:rsidR="00805512" w:rsidRPr="005009CE" w:rsidRDefault="005836E4" w:rsidP="00805512">
            <w:pPr>
              <w:spacing w:line="240" w:lineRule="auto"/>
              <w:ind w:left="28" w:right="28"/>
              <w:rPr>
                <w:rFonts w:ascii="新細明體" w:eastAsia="新細明體" w:cs="新細明體"/>
                <w:color w:val="000000"/>
              </w:rPr>
            </w:pPr>
            <w:r w:rsidRPr="005836E4">
              <w:rPr>
                <w:rFonts w:ascii="新細明體" w:eastAsia="新細明體" w:cs="新細明體" w:hint="eastAsia"/>
                <w:color w:val="000000"/>
              </w:rPr>
              <w:t>受證券投資信託公司委任銷售、買回經核准募集發行之受益憑證或受期貨信託事業委任銷售、買回經核准募集發行之期貨信託基金作業之稽核</w:t>
            </w:r>
          </w:p>
          <w:p w14:paraId="03BBC6A3" w14:textId="77777777" w:rsidR="00805512" w:rsidRPr="005009CE" w:rsidRDefault="00805512" w:rsidP="00805512">
            <w:pPr>
              <w:spacing w:line="240" w:lineRule="auto"/>
              <w:ind w:left="28" w:right="28"/>
              <w:rPr>
                <w:rFonts w:ascii="新細明體" w:eastAsia="新細明體" w:cs="新細明體"/>
                <w:color w:val="000000"/>
              </w:rPr>
            </w:pPr>
            <w:r w:rsidRPr="005009CE">
              <w:rPr>
                <w:rFonts w:ascii="新細明體" w:eastAsia="新細明體" w:cs="新細明體" w:hint="eastAsia"/>
                <w:color w:val="000000"/>
              </w:rPr>
              <w:t>目的：</w:t>
            </w:r>
          </w:p>
          <w:p w14:paraId="50DE8256" w14:textId="3C778B92" w:rsidR="00805512" w:rsidRPr="005009CE" w:rsidRDefault="00805512" w:rsidP="00805512">
            <w:pPr>
              <w:spacing w:line="240" w:lineRule="auto"/>
              <w:ind w:left="28" w:right="28"/>
              <w:rPr>
                <w:rFonts w:ascii="新細明體" w:eastAsia="新細明體" w:cs="新細明體"/>
                <w:color w:val="000000"/>
              </w:rPr>
            </w:pPr>
            <w:r w:rsidRPr="005009CE">
              <w:rPr>
                <w:rFonts w:ascii="新細明體" w:eastAsia="新細明體" w:cs="新細明體" w:hint="eastAsia"/>
                <w:color w:val="000000"/>
              </w:rPr>
              <w:t>確定上述作業是否符合規定辦理</w:t>
            </w:r>
          </w:p>
        </w:tc>
        <w:tc>
          <w:tcPr>
            <w:tcW w:w="5146" w:type="dxa"/>
            <w:tcBorders>
              <w:top w:val="single" w:sz="12" w:space="0" w:color="auto"/>
            </w:tcBorders>
          </w:tcPr>
          <w:p w14:paraId="40ECCCDF" w14:textId="622C79BD" w:rsidR="00805512" w:rsidRPr="005009CE" w:rsidRDefault="00805512" w:rsidP="00805512">
            <w:pPr>
              <w:spacing w:line="240" w:lineRule="auto"/>
              <w:ind w:right="28"/>
              <w:rPr>
                <w:rFonts w:asciiTheme="minorEastAsia" w:eastAsiaTheme="minorEastAsia" w:hAnsiTheme="minorEastAsia" w:cs="新細明體"/>
                <w:color w:val="000000" w:themeColor="text1"/>
              </w:rPr>
            </w:pPr>
            <w:r w:rsidRPr="005009CE">
              <w:rPr>
                <w:rFonts w:ascii="新細明體" w:eastAsia="新細明體" w:hAnsi="新細明體" w:cs="新細明體" w:hint="eastAsia"/>
                <w:color w:val="000000" w:themeColor="text1"/>
              </w:rPr>
              <w:t>作業週期：不</w:t>
            </w:r>
            <w:r w:rsidRPr="005009CE">
              <w:rPr>
                <w:rFonts w:asciiTheme="minorEastAsia" w:eastAsiaTheme="minorEastAsia" w:hAnsiTheme="minorEastAsia" w:cs="新細明體" w:hint="eastAsia"/>
                <w:color w:val="000000" w:themeColor="text1"/>
              </w:rPr>
              <w:t>定期（每</w:t>
            </w:r>
            <w:r w:rsidR="005836E4">
              <w:rPr>
                <w:rFonts w:asciiTheme="minorEastAsia" w:eastAsiaTheme="minorEastAsia" w:hAnsiTheme="minorEastAsia" w:cs="新細明體" w:hint="eastAsia"/>
                <w:color w:val="000000" w:themeColor="text1"/>
              </w:rPr>
              <w:t>季</w:t>
            </w:r>
            <w:r w:rsidRPr="005009CE">
              <w:rPr>
                <w:rFonts w:asciiTheme="minorEastAsia" w:eastAsiaTheme="minorEastAsia" w:hAnsiTheme="minorEastAsia" w:cs="新細明體" w:hint="eastAsia"/>
                <w:color w:val="000000" w:themeColor="text1"/>
              </w:rPr>
              <w:t>至少查核乙次）</w:t>
            </w:r>
          </w:p>
          <w:p w14:paraId="50BF0774" w14:textId="029AE718" w:rsidR="00805512" w:rsidRDefault="00902BA8" w:rsidP="00805512">
            <w:pPr>
              <w:spacing w:line="240" w:lineRule="auto"/>
              <w:ind w:right="28"/>
              <w:rPr>
                <w:rFonts w:ascii="新細明體" w:eastAsia="新細明體" w:hAnsi="新細明體" w:cs="Times New Roman"/>
                <w:color w:val="000000"/>
                <w:spacing w:val="20"/>
              </w:rPr>
            </w:pPr>
            <w:r w:rsidRPr="005009CE">
              <w:rPr>
                <w:rFonts w:ascii="新細明體" w:eastAsia="新細明體" w:hAnsi="新細明體" w:cs="Times New Roman" w:hint="eastAsia"/>
                <w:color w:val="000000"/>
                <w:spacing w:val="20"/>
              </w:rPr>
              <w:t>(</w:t>
            </w:r>
            <w:proofErr w:type="gramStart"/>
            <w:r w:rsidRPr="005009CE">
              <w:rPr>
                <w:rFonts w:ascii="新細明體" w:eastAsia="新細明體" w:hAnsi="新細明體" w:cs="Times New Roman" w:hint="eastAsia"/>
                <w:color w:val="000000"/>
                <w:spacing w:val="20"/>
              </w:rPr>
              <w:t>一</w:t>
            </w:r>
            <w:proofErr w:type="gramEnd"/>
            <w:r w:rsidRPr="005009CE">
              <w:rPr>
                <w:rFonts w:ascii="新細明體" w:eastAsia="新細明體" w:hAnsi="新細明體" w:cs="Times New Roman" w:hint="eastAsia"/>
                <w:color w:val="000000"/>
                <w:spacing w:val="20"/>
              </w:rPr>
              <w:t>)</w:t>
            </w:r>
            <w:r>
              <w:rPr>
                <w:rFonts w:ascii="新細明體" w:eastAsia="新細明體" w:hAnsi="新細明體" w:cs="Times New Roman" w:hint="eastAsia"/>
                <w:color w:val="000000"/>
                <w:spacing w:val="20"/>
              </w:rPr>
              <w:t>至</w:t>
            </w:r>
            <w:r w:rsidRPr="005009CE">
              <w:rPr>
                <w:rFonts w:ascii="新細明體" w:eastAsia="新細明體" w:hAnsi="新細明體" w:cs="Times New Roman" w:hint="eastAsia"/>
                <w:color w:val="000000"/>
                <w:spacing w:val="20"/>
              </w:rPr>
              <w:t>(</w:t>
            </w:r>
            <w:r>
              <w:rPr>
                <w:rFonts w:ascii="新細明體" w:eastAsia="新細明體" w:hAnsi="新細明體" w:cs="Times New Roman" w:hint="eastAsia"/>
                <w:color w:val="000000"/>
                <w:spacing w:val="20"/>
              </w:rPr>
              <w:t>四</w:t>
            </w:r>
            <w:r w:rsidRPr="005009CE">
              <w:rPr>
                <w:rFonts w:ascii="新細明體" w:eastAsia="新細明體" w:hAnsi="新細明體" w:cs="Times New Roman" w:hint="eastAsia"/>
                <w:color w:val="000000"/>
                <w:spacing w:val="20"/>
              </w:rPr>
              <w:t>)略</w:t>
            </w:r>
          </w:p>
          <w:p w14:paraId="7FBBB434" w14:textId="023D53AA" w:rsidR="007112DB" w:rsidRPr="007112DB" w:rsidRDefault="007112DB" w:rsidP="0066405E">
            <w:pPr>
              <w:pStyle w:val="ac"/>
              <w:numPr>
                <w:ilvl w:val="0"/>
                <w:numId w:val="25"/>
              </w:numPr>
              <w:ind w:leftChars="0" w:left="722" w:right="69" w:hanging="709"/>
              <w:jc w:val="both"/>
              <w:rPr>
                <w:rFonts w:asciiTheme="minorEastAsia" w:eastAsiaTheme="minorEastAsia" w:hAnsiTheme="minorEastAsia"/>
                <w:color w:val="FF0000"/>
                <w:u w:val="single"/>
              </w:rPr>
            </w:pPr>
            <w:r w:rsidRPr="007112DB">
              <w:rPr>
                <w:rFonts w:asciiTheme="minorEastAsia" w:eastAsiaTheme="minorEastAsia" w:hAnsiTheme="minorEastAsia" w:hint="eastAsia"/>
                <w:color w:val="FF0000"/>
                <w:u w:val="single"/>
              </w:rPr>
              <w:t>公司是否對所銷售之基金進行</w:t>
            </w:r>
            <w:proofErr w:type="gramStart"/>
            <w:r w:rsidRPr="007112DB">
              <w:rPr>
                <w:rFonts w:asciiTheme="minorEastAsia" w:eastAsiaTheme="minorEastAsia" w:hAnsiTheme="minorEastAsia" w:hint="eastAsia"/>
                <w:color w:val="FF0000"/>
                <w:u w:val="single"/>
              </w:rPr>
              <w:t>上架前審查</w:t>
            </w:r>
            <w:proofErr w:type="gramEnd"/>
            <w:r w:rsidRPr="007112DB">
              <w:rPr>
                <w:rFonts w:asciiTheme="minorEastAsia" w:eastAsiaTheme="minorEastAsia" w:hAnsiTheme="minorEastAsia" w:hint="eastAsia"/>
                <w:color w:val="FF0000"/>
                <w:u w:val="single"/>
              </w:rPr>
              <w:t>，其項目</w:t>
            </w:r>
            <w:r w:rsidRPr="0066405E">
              <w:rPr>
                <w:rFonts w:asciiTheme="minorEastAsia" w:eastAsiaTheme="minorEastAsia" w:hAnsiTheme="minorEastAsia" w:cs="Times New Roman" w:hint="eastAsia"/>
                <w:color w:val="FF0000"/>
                <w:u w:val="single"/>
              </w:rPr>
              <w:t>至少</w:t>
            </w:r>
            <w:r w:rsidRPr="007112DB">
              <w:rPr>
                <w:rFonts w:asciiTheme="minorEastAsia" w:eastAsiaTheme="minorEastAsia" w:hAnsiTheme="minorEastAsia" w:hint="eastAsia"/>
                <w:color w:val="FF0000"/>
                <w:u w:val="single"/>
              </w:rPr>
              <w:t>包含下列事項：</w:t>
            </w:r>
          </w:p>
          <w:p w14:paraId="5EFD1AF0" w14:textId="60BB4AD0" w:rsidR="007112DB" w:rsidRPr="007112DB" w:rsidRDefault="007112DB" w:rsidP="00C53D67">
            <w:pPr>
              <w:spacing w:line="240" w:lineRule="auto"/>
              <w:ind w:leftChars="295" w:left="1048" w:right="28" w:hangingChars="117" w:hanging="281"/>
              <w:rPr>
                <w:rFonts w:asciiTheme="minorEastAsia" w:eastAsiaTheme="minorEastAsia" w:hAnsiTheme="minorEastAsia" w:cs="新細明體"/>
                <w:color w:val="FF0000"/>
                <w:spacing w:val="0"/>
                <w:kern w:val="0"/>
                <w:u w:val="single"/>
              </w:rPr>
            </w:pPr>
            <w:r>
              <w:rPr>
                <w:rFonts w:asciiTheme="minorEastAsia" w:eastAsiaTheme="minorEastAsia" w:hAnsiTheme="minorEastAsia" w:cs="新細明體" w:hint="eastAsia"/>
                <w:color w:val="FF0000"/>
                <w:spacing w:val="0"/>
                <w:kern w:val="0"/>
                <w:u w:val="single"/>
              </w:rPr>
              <w:t>1.</w:t>
            </w:r>
            <w:r>
              <w:rPr>
                <w:rFonts w:asciiTheme="minorEastAsia" w:eastAsiaTheme="minorEastAsia" w:hAnsiTheme="minorEastAsia" w:cs="新細明體"/>
                <w:color w:val="FF0000"/>
                <w:spacing w:val="0"/>
                <w:kern w:val="0"/>
                <w:u w:val="single"/>
              </w:rPr>
              <w:tab/>
            </w:r>
            <w:r w:rsidRPr="007112DB">
              <w:rPr>
                <w:rFonts w:asciiTheme="minorEastAsia" w:eastAsiaTheme="minorEastAsia" w:hAnsiTheme="minorEastAsia" w:cs="新細明體" w:hint="eastAsia"/>
                <w:color w:val="FF0000"/>
                <w:spacing w:val="0"/>
                <w:kern w:val="0"/>
                <w:u w:val="single"/>
              </w:rPr>
              <w:t>基金之投資目標與方針、操作策略、風險報酬與過去績效。</w:t>
            </w:r>
          </w:p>
          <w:p w14:paraId="2EFF4055" w14:textId="27260CD0" w:rsidR="007112DB" w:rsidRPr="007112DB" w:rsidRDefault="007112DB" w:rsidP="00C53D67">
            <w:pPr>
              <w:spacing w:line="240" w:lineRule="auto"/>
              <w:ind w:leftChars="295" w:left="1048" w:right="28" w:hangingChars="117" w:hanging="281"/>
              <w:rPr>
                <w:rFonts w:asciiTheme="minorEastAsia" w:eastAsiaTheme="minorEastAsia" w:hAnsiTheme="minorEastAsia" w:cs="新細明體"/>
                <w:color w:val="FF0000"/>
                <w:spacing w:val="0"/>
                <w:kern w:val="0"/>
                <w:u w:val="single"/>
              </w:rPr>
            </w:pPr>
            <w:r>
              <w:rPr>
                <w:rFonts w:asciiTheme="minorEastAsia" w:eastAsiaTheme="minorEastAsia" w:hAnsiTheme="minorEastAsia" w:cs="新細明體"/>
                <w:color w:val="FF0000"/>
                <w:spacing w:val="0"/>
                <w:kern w:val="0"/>
                <w:u w:val="single"/>
              </w:rPr>
              <w:t>2.</w:t>
            </w:r>
            <w:r w:rsidRPr="007112DB">
              <w:rPr>
                <w:rFonts w:asciiTheme="minorEastAsia" w:eastAsiaTheme="minorEastAsia" w:hAnsiTheme="minorEastAsia" w:cs="新細明體" w:hint="eastAsia"/>
                <w:color w:val="FF0000"/>
                <w:spacing w:val="0"/>
                <w:kern w:val="0"/>
                <w:u w:val="single"/>
              </w:rPr>
              <w:tab/>
              <w:t>基金之相關費用合理性。</w:t>
            </w:r>
          </w:p>
          <w:p w14:paraId="77ADB493" w14:textId="550E596F" w:rsidR="007112DB" w:rsidRPr="007112DB" w:rsidRDefault="007112DB" w:rsidP="00C53D67">
            <w:pPr>
              <w:spacing w:line="240" w:lineRule="auto"/>
              <w:ind w:leftChars="295" w:left="1048" w:right="28" w:hangingChars="117" w:hanging="281"/>
              <w:rPr>
                <w:rFonts w:asciiTheme="minorEastAsia" w:eastAsiaTheme="minorEastAsia" w:hAnsiTheme="minorEastAsia" w:cs="新細明體"/>
                <w:color w:val="FF0000"/>
                <w:spacing w:val="0"/>
                <w:kern w:val="0"/>
                <w:u w:val="single"/>
              </w:rPr>
            </w:pPr>
            <w:r w:rsidRPr="007112DB">
              <w:rPr>
                <w:rFonts w:asciiTheme="minorEastAsia" w:eastAsiaTheme="minorEastAsia" w:hAnsiTheme="minorEastAsia" w:cs="新細明體" w:hint="eastAsia"/>
                <w:color w:val="FF0000"/>
                <w:spacing w:val="0"/>
                <w:kern w:val="0"/>
                <w:u w:val="single"/>
              </w:rPr>
              <w:t>3</w:t>
            </w:r>
            <w:r>
              <w:rPr>
                <w:rFonts w:asciiTheme="minorEastAsia" w:eastAsiaTheme="minorEastAsia" w:hAnsiTheme="minorEastAsia" w:cs="新細明體"/>
                <w:color w:val="FF0000"/>
                <w:spacing w:val="0"/>
                <w:kern w:val="0"/>
                <w:u w:val="single"/>
              </w:rPr>
              <w:t>.</w:t>
            </w:r>
            <w:r w:rsidRPr="007112DB">
              <w:rPr>
                <w:rFonts w:asciiTheme="minorEastAsia" w:eastAsiaTheme="minorEastAsia" w:hAnsiTheme="minorEastAsia" w:cs="新細明體" w:hint="eastAsia"/>
                <w:color w:val="FF0000"/>
                <w:spacing w:val="0"/>
                <w:kern w:val="0"/>
                <w:u w:val="single"/>
              </w:rPr>
              <w:tab/>
              <w:t>基金適合之客戶類型。</w:t>
            </w:r>
          </w:p>
          <w:p w14:paraId="1B3170C0" w14:textId="4CFC2744" w:rsidR="005836E4" w:rsidRPr="0066405E" w:rsidRDefault="0066405E" w:rsidP="0066405E">
            <w:pPr>
              <w:pStyle w:val="ac"/>
              <w:numPr>
                <w:ilvl w:val="0"/>
                <w:numId w:val="25"/>
              </w:numPr>
              <w:ind w:leftChars="0" w:left="722" w:right="69" w:hanging="709"/>
              <w:jc w:val="both"/>
              <w:rPr>
                <w:rFonts w:asciiTheme="minorEastAsia" w:eastAsiaTheme="minorEastAsia" w:hAnsiTheme="minorEastAsia"/>
              </w:rPr>
            </w:pPr>
            <w:r w:rsidRPr="0066405E">
              <w:rPr>
                <w:rFonts w:asciiTheme="minorEastAsia" w:eastAsiaTheme="minorEastAsia" w:hAnsiTheme="minorEastAsia" w:hint="eastAsia"/>
                <w:color w:val="000000" w:themeColor="text1"/>
              </w:rPr>
              <w:t>辦理基金銷售業務，是否充分知悉並評估客戶之投資知識、投資經驗、財務狀況及其承受投資風險</w:t>
            </w:r>
            <w:r w:rsidRPr="0066405E">
              <w:rPr>
                <w:rFonts w:asciiTheme="minorEastAsia" w:eastAsiaTheme="minorEastAsia" w:hAnsiTheme="minorEastAsia" w:hint="eastAsia"/>
              </w:rPr>
              <w:t>程度，銷售人員是否交付客戶風險預告書以充分揭露相關投資風險。</w:t>
            </w:r>
          </w:p>
          <w:p w14:paraId="007B358C" w14:textId="481EF7DF" w:rsidR="0066405E" w:rsidRPr="0066405E" w:rsidRDefault="0066405E" w:rsidP="0066405E">
            <w:pPr>
              <w:pStyle w:val="ac"/>
              <w:numPr>
                <w:ilvl w:val="0"/>
                <w:numId w:val="25"/>
              </w:numPr>
              <w:ind w:leftChars="0" w:left="722" w:right="69" w:hanging="709"/>
              <w:jc w:val="both"/>
              <w:rPr>
                <w:rFonts w:asciiTheme="minorEastAsia" w:eastAsiaTheme="minorEastAsia" w:hAnsiTheme="minorEastAsia"/>
              </w:rPr>
            </w:pPr>
            <w:r w:rsidRPr="0066405E">
              <w:rPr>
                <w:rFonts w:asciiTheme="minorEastAsia" w:eastAsiaTheme="minorEastAsia" w:hAnsiTheme="minorEastAsia" w:hint="eastAsia"/>
              </w:rPr>
              <w:t>對於一定金額以上或疑似洗錢之基金交易，其申購、買回或轉換，是否留存完整正確之交易紀錄及憑證，並是否依洗錢防制法規定辦理。</w:t>
            </w:r>
          </w:p>
          <w:p w14:paraId="6717F49C" w14:textId="1BC3188C" w:rsidR="0066405E" w:rsidRPr="0066405E" w:rsidRDefault="0066405E" w:rsidP="0066405E">
            <w:pPr>
              <w:pStyle w:val="ac"/>
              <w:numPr>
                <w:ilvl w:val="0"/>
                <w:numId w:val="25"/>
              </w:numPr>
              <w:ind w:leftChars="0" w:left="722" w:right="69" w:hanging="709"/>
              <w:jc w:val="both"/>
              <w:rPr>
                <w:rFonts w:asciiTheme="minorEastAsia" w:eastAsiaTheme="minorEastAsia" w:hAnsiTheme="minorEastAsia"/>
              </w:rPr>
            </w:pPr>
            <w:r w:rsidRPr="0066405E">
              <w:rPr>
                <w:rFonts w:asciiTheme="minorEastAsia" w:eastAsiaTheme="minorEastAsia" w:hAnsiTheme="minorEastAsia" w:hint="eastAsia"/>
              </w:rPr>
              <w:t>內部控制制度是否包括充分瞭解客戶、銷售行為、短線交易防制、洗錢防制及法令所訂應遵循之作業原則。</w:t>
            </w:r>
          </w:p>
          <w:p w14:paraId="26917B8B" w14:textId="3EB82D09" w:rsidR="0066405E" w:rsidRPr="0066405E" w:rsidRDefault="0066405E" w:rsidP="0066405E">
            <w:pPr>
              <w:pStyle w:val="ac"/>
              <w:numPr>
                <w:ilvl w:val="0"/>
                <w:numId w:val="25"/>
              </w:numPr>
              <w:ind w:leftChars="0" w:left="722" w:right="69" w:hanging="709"/>
              <w:jc w:val="both"/>
              <w:rPr>
                <w:rFonts w:asciiTheme="minorEastAsia" w:eastAsiaTheme="minorEastAsia" w:hAnsiTheme="minorEastAsia"/>
              </w:rPr>
            </w:pPr>
            <w:r w:rsidRPr="0066405E">
              <w:rPr>
                <w:rFonts w:asciiTheme="minorEastAsia" w:eastAsiaTheme="minorEastAsia" w:hAnsiTheme="minorEastAsia" w:hint="eastAsia"/>
              </w:rPr>
              <w:t>是否要求申購人將申購價款直接</w:t>
            </w:r>
            <w:proofErr w:type="gramStart"/>
            <w:r w:rsidRPr="0066405E">
              <w:rPr>
                <w:rFonts w:asciiTheme="minorEastAsia" w:eastAsiaTheme="minorEastAsia" w:hAnsiTheme="minorEastAsia" w:hint="eastAsia"/>
              </w:rPr>
              <w:t>匯</w:t>
            </w:r>
            <w:proofErr w:type="gramEnd"/>
            <w:r w:rsidRPr="0066405E">
              <w:rPr>
                <w:rFonts w:asciiTheme="minorEastAsia" w:eastAsiaTheme="minorEastAsia" w:hAnsiTheme="minorEastAsia" w:hint="eastAsia"/>
              </w:rPr>
              <w:t>撥至基金保管機構設立之基金專戶。</w:t>
            </w:r>
          </w:p>
          <w:p w14:paraId="095A4B04" w14:textId="77777777" w:rsidR="00A84947" w:rsidRPr="00A84947" w:rsidRDefault="0066405E" w:rsidP="00A84947">
            <w:pPr>
              <w:pStyle w:val="ac"/>
              <w:numPr>
                <w:ilvl w:val="0"/>
                <w:numId w:val="25"/>
              </w:numPr>
              <w:ind w:leftChars="0" w:left="722" w:right="69" w:hanging="709"/>
              <w:jc w:val="both"/>
              <w:rPr>
                <w:rFonts w:asciiTheme="minorEastAsia" w:eastAsiaTheme="minorEastAsia" w:hAnsiTheme="minorEastAsia"/>
                <w:color w:val="000000" w:themeColor="text1"/>
              </w:rPr>
            </w:pPr>
            <w:r w:rsidRPr="0066405E">
              <w:rPr>
                <w:rFonts w:asciiTheme="minorEastAsia" w:eastAsiaTheme="minorEastAsia" w:hAnsiTheme="minorEastAsia" w:hint="eastAsia"/>
              </w:rPr>
              <w:t>公司及所屬人員，是否以善良管理人之注意義務及忠實義務，本誠實信用原則，</w:t>
            </w:r>
            <w:r w:rsidR="00A84947" w:rsidRPr="004D2D84">
              <w:rPr>
                <w:rFonts w:cs="Times New Roman" w:hint="eastAsia"/>
                <w:color w:val="FF0000"/>
                <w:spacing w:val="20"/>
                <w:u w:val="single"/>
              </w:rPr>
              <w:t>並依下列規定</w:t>
            </w:r>
            <w:r w:rsidRPr="0066405E">
              <w:rPr>
                <w:rFonts w:asciiTheme="minorEastAsia" w:eastAsiaTheme="minorEastAsia" w:hAnsiTheme="minorEastAsia" w:hint="eastAsia"/>
              </w:rPr>
              <w:t>辦理基金銷售業務</w:t>
            </w:r>
            <w:r w:rsidR="00A84947">
              <w:rPr>
                <w:rFonts w:asciiTheme="minorEastAsia" w:eastAsiaTheme="minorEastAsia" w:hAnsiTheme="minorEastAsia" w:hint="eastAsia"/>
              </w:rPr>
              <w:t>：</w:t>
            </w:r>
          </w:p>
          <w:p w14:paraId="2ED7A9F0" w14:textId="2294C2C9" w:rsidR="00A84947" w:rsidRPr="00A84947" w:rsidRDefault="00BD6749" w:rsidP="00A84947">
            <w:pPr>
              <w:spacing w:line="240" w:lineRule="auto"/>
              <w:ind w:leftChars="295" w:left="1048" w:right="28" w:hangingChars="117" w:hanging="281"/>
              <w:rPr>
                <w:rFonts w:asciiTheme="minorEastAsia" w:eastAsiaTheme="minorEastAsia" w:hAnsiTheme="minorEastAsia" w:cs="新細明體"/>
                <w:color w:val="FF0000"/>
                <w:spacing w:val="0"/>
                <w:kern w:val="0"/>
                <w:u w:val="single"/>
              </w:rPr>
            </w:pPr>
            <w:r>
              <w:rPr>
                <w:rFonts w:asciiTheme="minorEastAsia" w:eastAsiaTheme="minorEastAsia" w:hAnsiTheme="minorEastAsia" w:cs="新細明體"/>
                <w:color w:val="FF0000"/>
                <w:spacing w:val="0"/>
                <w:kern w:val="0"/>
                <w:u w:val="single"/>
              </w:rPr>
              <w:t>1</w:t>
            </w:r>
            <w:r w:rsidR="008004DE">
              <w:rPr>
                <w:rFonts w:asciiTheme="minorEastAsia" w:eastAsiaTheme="minorEastAsia" w:hAnsiTheme="minorEastAsia" w:cs="新細明體" w:hint="eastAsia"/>
                <w:color w:val="FF0000"/>
                <w:spacing w:val="0"/>
                <w:kern w:val="0"/>
                <w:u w:val="single"/>
              </w:rPr>
              <w:t>.</w:t>
            </w:r>
            <w:r w:rsidR="00A84947" w:rsidRPr="00A84947">
              <w:rPr>
                <w:rFonts w:asciiTheme="minorEastAsia" w:eastAsiaTheme="minorEastAsia" w:hAnsiTheme="minorEastAsia" w:cs="新細明體" w:hint="eastAsia"/>
                <w:color w:val="FF0000"/>
                <w:spacing w:val="0"/>
                <w:kern w:val="0"/>
                <w:u w:val="single"/>
              </w:rPr>
              <w:tab/>
              <w:t>參與基金募集前，將公司銷售人力與銷售量能納入考量，以確保銷售行為的專</w:t>
            </w:r>
            <w:r w:rsidR="00A84947" w:rsidRPr="00A84947">
              <w:rPr>
                <w:rFonts w:asciiTheme="minorEastAsia" w:eastAsiaTheme="minorEastAsia" w:hAnsiTheme="minorEastAsia" w:cs="新細明體" w:hint="eastAsia"/>
                <w:color w:val="FF0000"/>
                <w:spacing w:val="0"/>
                <w:kern w:val="0"/>
                <w:u w:val="single"/>
              </w:rPr>
              <w:lastRenderedPageBreak/>
              <w:t>業性，提升客戶服務品質。</w:t>
            </w:r>
          </w:p>
          <w:p w14:paraId="229F2E29" w14:textId="194A1EE7" w:rsidR="00A84947" w:rsidRPr="00A84947" w:rsidRDefault="00BD6749" w:rsidP="00A84947">
            <w:pPr>
              <w:spacing w:line="240" w:lineRule="auto"/>
              <w:ind w:leftChars="295" w:left="1048" w:right="28" w:hangingChars="117" w:hanging="281"/>
              <w:rPr>
                <w:rFonts w:asciiTheme="minorEastAsia" w:eastAsiaTheme="minorEastAsia" w:hAnsiTheme="minorEastAsia" w:cs="新細明體"/>
                <w:color w:val="FF0000"/>
                <w:spacing w:val="0"/>
                <w:kern w:val="0"/>
                <w:u w:val="single"/>
              </w:rPr>
            </w:pPr>
            <w:r>
              <w:rPr>
                <w:rFonts w:asciiTheme="minorEastAsia" w:eastAsiaTheme="minorEastAsia" w:hAnsiTheme="minorEastAsia" w:cs="新細明體"/>
                <w:color w:val="FF0000"/>
                <w:spacing w:val="0"/>
                <w:kern w:val="0"/>
                <w:u w:val="single"/>
              </w:rPr>
              <w:t>2</w:t>
            </w:r>
            <w:r w:rsidR="008004DE">
              <w:rPr>
                <w:rFonts w:asciiTheme="minorEastAsia" w:eastAsiaTheme="minorEastAsia" w:hAnsiTheme="minorEastAsia" w:cs="新細明體" w:hint="eastAsia"/>
                <w:color w:val="FF0000"/>
                <w:spacing w:val="0"/>
                <w:kern w:val="0"/>
                <w:u w:val="single"/>
              </w:rPr>
              <w:t>.</w:t>
            </w:r>
            <w:r w:rsidR="00A84947" w:rsidRPr="00A84947">
              <w:rPr>
                <w:rFonts w:asciiTheme="minorEastAsia" w:eastAsiaTheme="minorEastAsia" w:hAnsiTheme="minorEastAsia" w:cs="新細明體" w:hint="eastAsia"/>
                <w:color w:val="FF0000"/>
                <w:spacing w:val="0"/>
                <w:kern w:val="0"/>
                <w:u w:val="single"/>
              </w:rPr>
              <w:tab/>
              <w:t>不得以不正當方式使基金銷售業務人員為達一定銷售金額致勸誘客戶認購基金之情事。</w:t>
            </w:r>
          </w:p>
          <w:p w14:paraId="7001192F" w14:textId="774BB28B" w:rsidR="00A84947" w:rsidRDefault="00BD6749" w:rsidP="00A84947">
            <w:pPr>
              <w:spacing w:line="240" w:lineRule="auto"/>
              <w:ind w:leftChars="295" w:left="1048" w:right="28" w:hangingChars="117" w:hanging="281"/>
              <w:rPr>
                <w:rFonts w:asciiTheme="minorEastAsia" w:eastAsiaTheme="minorEastAsia" w:hAnsiTheme="minorEastAsia"/>
                <w:color w:val="000000" w:themeColor="text1"/>
              </w:rPr>
            </w:pPr>
            <w:r>
              <w:rPr>
                <w:rFonts w:asciiTheme="minorEastAsia" w:eastAsiaTheme="minorEastAsia" w:hAnsiTheme="minorEastAsia" w:cs="新細明體"/>
                <w:color w:val="FF0000"/>
                <w:spacing w:val="0"/>
                <w:kern w:val="0"/>
                <w:u w:val="single"/>
              </w:rPr>
              <w:t>3</w:t>
            </w:r>
            <w:r w:rsidR="008004DE">
              <w:rPr>
                <w:rFonts w:asciiTheme="minorEastAsia" w:eastAsiaTheme="minorEastAsia" w:hAnsiTheme="minorEastAsia" w:cs="新細明體" w:hint="eastAsia"/>
                <w:color w:val="FF0000"/>
                <w:spacing w:val="0"/>
                <w:kern w:val="0"/>
                <w:u w:val="single"/>
              </w:rPr>
              <w:t>.</w:t>
            </w:r>
            <w:r w:rsidR="00A84947" w:rsidRPr="00A84947">
              <w:rPr>
                <w:rFonts w:asciiTheme="minorEastAsia" w:eastAsiaTheme="minorEastAsia" w:hAnsiTheme="minorEastAsia" w:cs="新細明體" w:hint="eastAsia"/>
                <w:color w:val="FF0000"/>
                <w:spacing w:val="0"/>
                <w:kern w:val="0"/>
                <w:u w:val="single"/>
              </w:rPr>
              <w:tab/>
              <w:t>不得有鼓勵或引導民眾以借貸方式投資基金致客戶</w:t>
            </w:r>
            <w:r w:rsidR="00A84947" w:rsidRPr="00A84947">
              <w:rPr>
                <w:rFonts w:asciiTheme="minorEastAsia" w:eastAsiaTheme="minorEastAsia" w:hAnsiTheme="minorEastAsia" w:hint="eastAsia"/>
                <w:color w:val="FF0000"/>
                <w:u w:val="single"/>
              </w:rPr>
              <w:t>有過度擴張信用承擔過高風險之情事。</w:t>
            </w:r>
          </w:p>
          <w:p w14:paraId="1CA45BA2" w14:textId="779A31EC" w:rsidR="00BD6749" w:rsidRPr="00BD6749" w:rsidRDefault="00BD6749" w:rsidP="0066405E">
            <w:pPr>
              <w:pStyle w:val="ac"/>
              <w:numPr>
                <w:ilvl w:val="0"/>
                <w:numId w:val="25"/>
              </w:numPr>
              <w:ind w:leftChars="0" w:left="722" w:right="69" w:hanging="709"/>
              <w:jc w:val="both"/>
              <w:rPr>
                <w:rFonts w:asciiTheme="minorEastAsia" w:eastAsiaTheme="minorEastAsia" w:hAnsiTheme="minorEastAsia"/>
                <w:color w:val="000000" w:themeColor="text1"/>
              </w:rPr>
            </w:pPr>
            <w:r w:rsidRPr="00BD6749">
              <w:rPr>
                <w:rFonts w:asciiTheme="minorEastAsia" w:eastAsiaTheme="minorEastAsia" w:hAnsiTheme="minorEastAsia" w:cs="Times New Roman" w:hint="eastAsia"/>
                <w:color w:val="FF0000"/>
                <w:u w:val="single"/>
              </w:rPr>
              <w:t>公司及所屬人員於辦理基金銷售業務時，對於基金投資人之個人資料、往來交易資料及其他相關資料，除法令另有規定外，是否保守秘密。</w:t>
            </w:r>
          </w:p>
          <w:p w14:paraId="040FF6A0" w14:textId="5A4177F8" w:rsidR="00A84947" w:rsidRPr="00A84947" w:rsidRDefault="00A84947" w:rsidP="0066405E">
            <w:pPr>
              <w:pStyle w:val="ac"/>
              <w:numPr>
                <w:ilvl w:val="0"/>
                <w:numId w:val="25"/>
              </w:numPr>
              <w:ind w:leftChars="0" w:left="722" w:right="69" w:hanging="709"/>
              <w:jc w:val="both"/>
              <w:rPr>
                <w:rFonts w:asciiTheme="minorEastAsia" w:eastAsiaTheme="minorEastAsia" w:hAnsiTheme="minorEastAsia"/>
                <w:color w:val="000000" w:themeColor="text1"/>
              </w:rPr>
            </w:pPr>
            <w:r w:rsidRPr="00902BA8">
              <w:rPr>
                <w:rFonts w:asciiTheme="minorEastAsia" w:eastAsiaTheme="minorEastAsia" w:hAnsiTheme="minorEastAsia" w:cs="Times New Roman" w:hint="eastAsia"/>
                <w:color w:val="000000" w:themeColor="text1"/>
              </w:rPr>
              <w:t>辦理基金銷售業務之人員，是否未挪用客戶款項或受益憑證或有其他損及客戶權益之行為。證券投資信託基金受益憑證之交付，是否由證券投資信託事業依各基金之證券投資信託契約約定為之，不得由公司辦理。</w:t>
            </w:r>
          </w:p>
          <w:p w14:paraId="2650BCE0" w14:textId="3AC1B7FE" w:rsidR="00A84947" w:rsidRPr="00A84947" w:rsidRDefault="00A84947" w:rsidP="0066405E">
            <w:pPr>
              <w:pStyle w:val="ac"/>
              <w:numPr>
                <w:ilvl w:val="0"/>
                <w:numId w:val="25"/>
              </w:numPr>
              <w:ind w:leftChars="0" w:left="722" w:right="69" w:hanging="709"/>
              <w:jc w:val="both"/>
              <w:rPr>
                <w:rFonts w:asciiTheme="minorEastAsia" w:eastAsiaTheme="minorEastAsia" w:hAnsiTheme="minorEastAsia"/>
                <w:color w:val="000000" w:themeColor="text1"/>
              </w:rPr>
            </w:pPr>
            <w:r w:rsidRPr="00902BA8">
              <w:rPr>
                <w:rFonts w:asciiTheme="minorEastAsia" w:eastAsiaTheme="minorEastAsia" w:hAnsiTheme="minorEastAsia" w:cs="Times New Roman" w:hint="eastAsia"/>
                <w:color w:val="000000" w:themeColor="text1"/>
              </w:rPr>
              <w:t>客戶申購證券投資信託基金，如非以書面方式提出申請者，公司是否依法令及中華民國證券投資信託暨顧問商業同業公會「國內證券投資信託基金電子交易作業準則」辦理。</w:t>
            </w:r>
          </w:p>
          <w:p w14:paraId="34BC589A" w14:textId="75F820D3" w:rsidR="00A84947" w:rsidRPr="00A84947" w:rsidRDefault="00A84947" w:rsidP="0066405E">
            <w:pPr>
              <w:pStyle w:val="ac"/>
              <w:numPr>
                <w:ilvl w:val="0"/>
                <w:numId w:val="25"/>
              </w:numPr>
              <w:ind w:leftChars="0" w:left="722" w:right="69" w:hanging="709"/>
              <w:jc w:val="both"/>
              <w:rPr>
                <w:rFonts w:asciiTheme="minorEastAsia" w:eastAsiaTheme="minorEastAsia" w:hAnsiTheme="minorEastAsia"/>
                <w:color w:val="000000" w:themeColor="text1"/>
              </w:rPr>
            </w:pPr>
            <w:r w:rsidRPr="00902BA8">
              <w:rPr>
                <w:rFonts w:asciiTheme="minorEastAsia" w:eastAsiaTheme="minorEastAsia" w:hAnsiTheme="minorEastAsia" w:cs="Times New Roman" w:hint="eastAsia"/>
                <w:color w:val="000000" w:themeColor="text1"/>
              </w:rPr>
              <w:t>公司是否建立可於客戶之申購申請書件上明確註記其受理申請之日期及時間之機制，惟客戶如非以書面而係以其它約定方式提出申請者，公司之相關作業系統是否具有明確記載上開訊息之功能，並保留稽核軌跡，備供查核。</w:t>
            </w:r>
          </w:p>
          <w:p w14:paraId="4B102408" w14:textId="1B6CF0BC" w:rsidR="00A84947" w:rsidRPr="00A84947" w:rsidRDefault="00A84947" w:rsidP="0066405E">
            <w:pPr>
              <w:pStyle w:val="ac"/>
              <w:numPr>
                <w:ilvl w:val="0"/>
                <w:numId w:val="25"/>
              </w:numPr>
              <w:ind w:leftChars="0" w:left="722" w:right="69" w:hanging="709"/>
              <w:jc w:val="both"/>
              <w:rPr>
                <w:rFonts w:asciiTheme="minorEastAsia" w:eastAsiaTheme="minorEastAsia" w:hAnsiTheme="minorEastAsia"/>
                <w:color w:val="000000" w:themeColor="text1"/>
              </w:rPr>
            </w:pPr>
            <w:r w:rsidRPr="00902BA8">
              <w:rPr>
                <w:rFonts w:asciiTheme="minorEastAsia" w:eastAsiaTheme="minorEastAsia" w:hAnsiTheme="minorEastAsia" w:cs="Times New Roman" w:hint="eastAsia"/>
                <w:color w:val="000000" w:themeColor="text1"/>
              </w:rPr>
              <w:lastRenderedPageBreak/>
              <w:t>辦理基金買回業務是否建立可於受益人請求買回受益憑證之申請書件上明確註記其受理申請之日期及時間之機制，惟客戶如非以書面而係以其他約定方式提出申請者，公司辦理基金買回業務之相關作業系統是否具有明確記載上開訊息之功能，並保留稽核軌跡，備供查核。</w:t>
            </w:r>
          </w:p>
          <w:p w14:paraId="3D5C2D85" w14:textId="2A259606" w:rsidR="00A84947" w:rsidRPr="00E60404" w:rsidRDefault="00A84947" w:rsidP="0066405E">
            <w:pPr>
              <w:pStyle w:val="ac"/>
              <w:numPr>
                <w:ilvl w:val="0"/>
                <w:numId w:val="25"/>
              </w:numPr>
              <w:ind w:leftChars="0" w:left="722" w:right="69" w:hanging="709"/>
              <w:jc w:val="both"/>
              <w:rPr>
                <w:rFonts w:asciiTheme="minorEastAsia" w:eastAsiaTheme="minorEastAsia" w:hAnsiTheme="minorEastAsia"/>
                <w:color w:val="000000" w:themeColor="text1"/>
              </w:rPr>
            </w:pPr>
            <w:r w:rsidRPr="00902BA8">
              <w:rPr>
                <w:rFonts w:asciiTheme="minorEastAsia" w:eastAsiaTheme="minorEastAsia" w:hAnsiTheme="minorEastAsia" w:cs="Times New Roman" w:hint="eastAsia"/>
                <w:color w:val="000000" w:themeColor="text1"/>
              </w:rPr>
              <w:t>公司受期貨信託事業委任銷售、買回經核准募集發行之期</w:t>
            </w:r>
            <w:r w:rsidRPr="00E60404">
              <w:rPr>
                <w:rFonts w:asciiTheme="minorEastAsia" w:eastAsiaTheme="minorEastAsia" w:hAnsiTheme="minorEastAsia" w:cs="Times New Roman" w:hint="eastAsia"/>
                <w:color w:val="000000" w:themeColor="text1"/>
              </w:rPr>
              <w:t>貨信託基金，是否依期貨信託基金管理辦法相關規定辦理。</w:t>
            </w:r>
          </w:p>
          <w:p w14:paraId="200CAA9A" w14:textId="04237987" w:rsidR="00805512" w:rsidRPr="001979AC" w:rsidRDefault="00A31A45" w:rsidP="00602788">
            <w:pPr>
              <w:pStyle w:val="ac"/>
              <w:numPr>
                <w:ilvl w:val="0"/>
                <w:numId w:val="25"/>
              </w:numPr>
              <w:ind w:leftChars="0" w:left="722" w:right="69" w:hanging="709"/>
              <w:jc w:val="both"/>
              <w:rPr>
                <w:rFonts w:asciiTheme="minorEastAsia" w:eastAsiaTheme="minorEastAsia" w:hAnsiTheme="minorEastAsia"/>
                <w:color w:val="000000" w:themeColor="text1"/>
              </w:rPr>
            </w:pPr>
            <w:r w:rsidRPr="00E60404">
              <w:rPr>
                <w:rFonts w:cs="Times New Roman" w:hint="eastAsia"/>
                <w:color w:val="FF0000"/>
                <w:spacing w:val="20"/>
                <w:u w:val="single"/>
              </w:rPr>
              <w:t>公司對基金銷售業務人員</w:t>
            </w:r>
            <w:proofErr w:type="gramStart"/>
            <w:r w:rsidRPr="00E60404">
              <w:rPr>
                <w:rFonts w:cs="Times New Roman" w:hint="eastAsia"/>
                <w:color w:val="FF0000"/>
                <w:spacing w:val="20"/>
                <w:u w:val="single"/>
              </w:rPr>
              <w:t>之薪酬及</w:t>
            </w:r>
            <w:proofErr w:type="gramEnd"/>
            <w:r w:rsidRPr="00E60404">
              <w:rPr>
                <w:rFonts w:cs="Times New Roman" w:hint="eastAsia"/>
                <w:color w:val="FF0000"/>
                <w:spacing w:val="20"/>
                <w:u w:val="single"/>
              </w:rPr>
              <w:t>考核</w:t>
            </w:r>
            <w:proofErr w:type="gramStart"/>
            <w:r w:rsidR="00602788" w:rsidRPr="00E60404">
              <w:rPr>
                <w:rFonts w:cs="Times New Roman" w:hint="eastAsia"/>
                <w:color w:val="FF0000"/>
                <w:spacing w:val="20"/>
                <w:u w:val="single"/>
              </w:rPr>
              <w:t>是否</w:t>
            </w:r>
            <w:r w:rsidR="00492D30" w:rsidRPr="00E60404">
              <w:rPr>
                <w:rFonts w:cs="Times New Roman" w:hint="eastAsia"/>
                <w:color w:val="FF0000"/>
                <w:spacing w:val="20"/>
                <w:u w:val="single"/>
              </w:rPr>
              <w:t>未</w:t>
            </w:r>
            <w:r w:rsidR="00492D30" w:rsidRPr="00E60404">
              <w:rPr>
                <w:rFonts w:asciiTheme="minorEastAsia" w:eastAsiaTheme="minorEastAsia" w:hAnsiTheme="minorEastAsia" w:hint="eastAsia"/>
                <w:color w:val="FF0000"/>
                <w:u w:val="single"/>
              </w:rPr>
              <w:t>僅以</w:t>
            </w:r>
            <w:proofErr w:type="gramEnd"/>
            <w:r w:rsidR="00492D30" w:rsidRPr="00E60404">
              <w:rPr>
                <w:rFonts w:asciiTheme="minorEastAsia" w:eastAsiaTheme="minorEastAsia" w:hAnsiTheme="minorEastAsia" w:hint="eastAsia"/>
                <w:color w:val="FF0000"/>
                <w:u w:val="single"/>
              </w:rPr>
              <w:t>銷售金額之多寡為考量，</w:t>
            </w:r>
            <w:r w:rsidR="00492D30" w:rsidRPr="00E60404">
              <w:rPr>
                <w:rFonts w:cs="Times New Roman" w:hint="eastAsia"/>
                <w:color w:val="FF0000"/>
                <w:spacing w:val="20"/>
                <w:u w:val="single"/>
              </w:rPr>
              <w:t>且</w:t>
            </w:r>
            <w:r w:rsidR="00602788" w:rsidRPr="00E60404">
              <w:rPr>
                <w:rFonts w:cs="Times New Roman" w:hint="eastAsia"/>
                <w:color w:val="FF0000"/>
                <w:spacing w:val="20"/>
                <w:u w:val="single"/>
              </w:rPr>
              <w:t>是否</w:t>
            </w:r>
            <w:r w:rsidRPr="00E60404">
              <w:rPr>
                <w:rFonts w:cs="Times New Roman" w:hint="eastAsia"/>
                <w:color w:val="FF0000"/>
                <w:spacing w:val="20"/>
                <w:u w:val="single"/>
              </w:rPr>
              <w:t>注意基金銷售業務人員有</w:t>
            </w:r>
            <w:r w:rsidR="00BF399C" w:rsidRPr="00E60404">
              <w:rPr>
                <w:rFonts w:cs="Times New Roman" w:hint="eastAsia"/>
                <w:color w:val="FF0000"/>
                <w:spacing w:val="20"/>
                <w:u w:val="single"/>
              </w:rPr>
              <w:t>無</w:t>
            </w:r>
            <w:r w:rsidRPr="00E60404">
              <w:rPr>
                <w:rFonts w:cs="Times New Roman" w:hint="eastAsia"/>
                <w:color w:val="FF0000"/>
                <w:spacing w:val="20"/>
                <w:u w:val="single"/>
              </w:rPr>
              <w:t>鼓勵或引導民眾以借貸方式投資基金致客戶有過度</w:t>
            </w:r>
            <w:r w:rsidRPr="004D2D84">
              <w:rPr>
                <w:rFonts w:cs="Times New Roman" w:hint="eastAsia"/>
                <w:color w:val="FF0000"/>
                <w:spacing w:val="20"/>
                <w:u w:val="single"/>
              </w:rPr>
              <w:t>擴張信用承擔過高風險之情事。</w:t>
            </w:r>
          </w:p>
        </w:tc>
        <w:tc>
          <w:tcPr>
            <w:tcW w:w="5147" w:type="dxa"/>
            <w:tcBorders>
              <w:top w:val="single" w:sz="12" w:space="0" w:color="auto"/>
            </w:tcBorders>
          </w:tcPr>
          <w:p w14:paraId="7087AEC4" w14:textId="5EB3B41E" w:rsidR="00805512" w:rsidRPr="005009CE" w:rsidRDefault="00805512" w:rsidP="00805512">
            <w:pPr>
              <w:spacing w:line="240" w:lineRule="auto"/>
              <w:ind w:right="28"/>
              <w:rPr>
                <w:rFonts w:asciiTheme="minorEastAsia" w:eastAsiaTheme="minorEastAsia" w:hAnsiTheme="minorEastAsia" w:cs="新細明體"/>
                <w:color w:val="000000" w:themeColor="text1"/>
              </w:rPr>
            </w:pPr>
            <w:r w:rsidRPr="005009CE">
              <w:rPr>
                <w:rFonts w:ascii="新細明體" w:eastAsia="新細明體" w:hAnsi="新細明體" w:cs="新細明體" w:hint="eastAsia"/>
                <w:color w:val="000000" w:themeColor="text1"/>
              </w:rPr>
              <w:lastRenderedPageBreak/>
              <w:t>作業週期：不</w:t>
            </w:r>
            <w:r w:rsidRPr="005009CE">
              <w:rPr>
                <w:rFonts w:asciiTheme="minorEastAsia" w:eastAsiaTheme="minorEastAsia" w:hAnsiTheme="minorEastAsia" w:cs="新細明體" w:hint="eastAsia"/>
                <w:color w:val="000000" w:themeColor="text1"/>
              </w:rPr>
              <w:t>定期（每</w:t>
            </w:r>
            <w:r w:rsidR="00902BA8">
              <w:rPr>
                <w:rFonts w:asciiTheme="minorEastAsia" w:eastAsiaTheme="minorEastAsia" w:hAnsiTheme="minorEastAsia" w:cs="新細明體" w:hint="eastAsia"/>
                <w:color w:val="000000" w:themeColor="text1"/>
              </w:rPr>
              <w:t>季</w:t>
            </w:r>
            <w:r w:rsidRPr="005009CE">
              <w:rPr>
                <w:rFonts w:asciiTheme="minorEastAsia" w:eastAsiaTheme="minorEastAsia" w:hAnsiTheme="minorEastAsia" w:cs="新細明體" w:hint="eastAsia"/>
                <w:color w:val="000000" w:themeColor="text1"/>
              </w:rPr>
              <w:t>至少查核乙次）</w:t>
            </w:r>
          </w:p>
          <w:p w14:paraId="204899D4" w14:textId="03F3263D" w:rsidR="00805512" w:rsidRDefault="00805512" w:rsidP="00805512">
            <w:pPr>
              <w:spacing w:line="240" w:lineRule="auto"/>
              <w:ind w:right="28"/>
              <w:rPr>
                <w:rFonts w:ascii="新細明體" w:eastAsia="新細明體" w:hAnsi="新細明體" w:cs="Times New Roman"/>
                <w:color w:val="000000"/>
                <w:spacing w:val="20"/>
              </w:rPr>
            </w:pPr>
            <w:r w:rsidRPr="005009CE">
              <w:rPr>
                <w:rFonts w:ascii="新細明體" w:eastAsia="新細明體" w:hAnsi="新細明體" w:cs="Times New Roman" w:hint="eastAsia"/>
                <w:color w:val="000000"/>
                <w:spacing w:val="20"/>
              </w:rPr>
              <w:t>(</w:t>
            </w:r>
            <w:proofErr w:type="gramStart"/>
            <w:r w:rsidRPr="005009CE">
              <w:rPr>
                <w:rFonts w:ascii="新細明體" w:eastAsia="新細明體" w:hAnsi="新細明體" w:cs="Times New Roman" w:hint="eastAsia"/>
                <w:color w:val="000000"/>
                <w:spacing w:val="20"/>
              </w:rPr>
              <w:t>一</w:t>
            </w:r>
            <w:proofErr w:type="gramEnd"/>
            <w:r w:rsidRPr="005009CE">
              <w:rPr>
                <w:rFonts w:ascii="新細明體" w:eastAsia="新細明體" w:hAnsi="新細明體" w:cs="Times New Roman" w:hint="eastAsia"/>
                <w:color w:val="000000"/>
                <w:spacing w:val="20"/>
              </w:rPr>
              <w:t>)</w:t>
            </w:r>
            <w:r w:rsidR="005836E4">
              <w:rPr>
                <w:rFonts w:ascii="新細明體" w:eastAsia="新細明體" w:hAnsi="新細明體" w:cs="Times New Roman" w:hint="eastAsia"/>
                <w:color w:val="000000"/>
                <w:spacing w:val="20"/>
              </w:rPr>
              <w:t>至</w:t>
            </w:r>
            <w:r w:rsidRPr="005009CE">
              <w:rPr>
                <w:rFonts w:ascii="新細明體" w:eastAsia="新細明體" w:hAnsi="新細明體" w:cs="Times New Roman" w:hint="eastAsia"/>
                <w:color w:val="000000"/>
                <w:spacing w:val="20"/>
              </w:rPr>
              <w:t>(</w:t>
            </w:r>
            <w:r w:rsidR="00902BA8">
              <w:rPr>
                <w:rFonts w:ascii="新細明體" w:eastAsia="新細明體" w:hAnsi="新細明體" w:cs="Times New Roman" w:hint="eastAsia"/>
                <w:color w:val="000000"/>
                <w:spacing w:val="20"/>
              </w:rPr>
              <w:t>四</w:t>
            </w:r>
            <w:r w:rsidRPr="005009CE">
              <w:rPr>
                <w:rFonts w:ascii="新細明體" w:eastAsia="新細明體" w:hAnsi="新細明體" w:cs="Times New Roman" w:hint="eastAsia"/>
                <w:color w:val="000000"/>
                <w:spacing w:val="20"/>
              </w:rPr>
              <w:t>)略</w:t>
            </w:r>
          </w:p>
          <w:p w14:paraId="220E9228" w14:textId="45A5C566" w:rsidR="00902BA8" w:rsidRDefault="00902BA8" w:rsidP="00805512">
            <w:pPr>
              <w:spacing w:line="240" w:lineRule="auto"/>
              <w:ind w:right="28"/>
              <w:rPr>
                <w:rFonts w:ascii="新細明體" w:eastAsia="新細明體" w:hAnsi="新細明體" w:cs="Times New Roman"/>
                <w:color w:val="FF0000"/>
                <w:spacing w:val="20"/>
                <w:u w:val="single"/>
              </w:rPr>
            </w:pPr>
            <w:r w:rsidRPr="00902BA8">
              <w:rPr>
                <w:rFonts w:ascii="新細明體" w:eastAsia="新細明體" w:hAnsi="新細明體" w:cs="Times New Roman" w:hint="eastAsia"/>
                <w:color w:val="FF0000"/>
                <w:spacing w:val="20"/>
                <w:u w:val="single"/>
              </w:rPr>
              <w:t>(新增)</w:t>
            </w:r>
          </w:p>
          <w:p w14:paraId="0392BD7D" w14:textId="74C3E8A2" w:rsidR="0066405E" w:rsidRPr="001966D5" w:rsidRDefault="0066405E" w:rsidP="001966D5">
            <w:pPr>
              <w:pStyle w:val="ac"/>
              <w:ind w:leftChars="0" w:left="722" w:right="69"/>
              <w:jc w:val="both"/>
              <w:rPr>
                <w:rFonts w:asciiTheme="minorEastAsia" w:eastAsiaTheme="minorEastAsia" w:hAnsiTheme="minorEastAsia" w:cs="Times New Roman"/>
                <w:color w:val="000000" w:themeColor="text1"/>
              </w:rPr>
            </w:pPr>
          </w:p>
          <w:p w14:paraId="1AC09640" w14:textId="359C3CF3" w:rsidR="0066405E" w:rsidRPr="001966D5" w:rsidRDefault="0066405E" w:rsidP="001966D5">
            <w:pPr>
              <w:pStyle w:val="ac"/>
              <w:ind w:leftChars="0" w:left="722" w:right="69"/>
              <w:jc w:val="both"/>
              <w:rPr>
                <w:rFonts w:asciiTheme="minorEastAsia" w:eastAsiaTheme="minorEastAsia" w:hAnsiTheme="minorEastAsia" w:cs="Times New Roman"/>
                <w:color w:val="000000" w:themeColor="text1"/>
              </w:rPr>
            </w:pPr>
          </w:p>
          <w:p w14:paraId="45DB0D45" w14:textId="3B3FA86E" w:rsidR="0066405E" w:rsidRPr="001966D5" w:rsidRDefault="0066405E" w:rsidP="001966D5">
            <w:pPr>
              <w:pStyle w:val="ac"/>
              <w:ind w:leftChars="0" w:left="722" w:right="69"/>
              <w:jc w:val="both"/>
              <w:rPr>
                <w:rFonts w:asciiTheme="minorEastAsia" w:eastAsiaTheme="minorEastAsia" w:hAnsiTheme="minorEastAsia" w:cs="Times New Roman"/>
                <w:color w:val="000000" w:themeColor="text1"/>
              </w:rPr>
            </w:pPr>
          </w:p>
          <w:p w14:paraId="142D52F0" w14:textId="5F3DA5E7" w:rsidR="0066405E" w:rsidRPr="001966D5" w:rsidRDefault="0066405E" w:rsidP="001966D5">
            <w:pPr>
              <w:pStyle w:val="ac"/>
              <w:ind w:leftChars="0" w:left="722" w:right="69"/>
              <w:jc w:val="both"/>
              <w:rPr>
                <w:rFonts w:asciiTheme="minorEastAsia" w:eastAsiaTheme="minorEastAsia" w:hAnsiTheme="minorEastAsia" w:cs="Times New Roman"/>
                <w:color w:val="000000" w:themeColor="text1"/>
              </w:rPr>
            </w:pPr>
          </w:p>
          <w:p w14:paraId="0F2DB84D" w14:textId="77777777" w:rsidR="009E43A2" w:rsidRPr="009E43A2" w:rsidRDefault="009E43A2" w:rsidP="009E43A2">
            <w:pPr>
              <w:pStyle w:val="ac"/>
              <w:ind w:leftChars="0" w:left="722" w:right="69"/>
              <w:jc w:val="both"/>
              <w:rPr>
                <w:rFonts w:asciiTheme="minorEastAsia" w:eastAsiaTheme="minorEastAsia" w:hAnsiTheme="minorEastAsia" w:cs="Times New Roman"/>
                <w:color w:val="000000" w:themeColor="text1"/>
              </w:rPr>
            </w:pPr>
          </w:p>
          <w:p w14:paraId="1C3BEFA4" w14:textId="74417B8D"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cs="Times New Roman" w:hint="eastAsia"/>
                <w:color w:val="000000"/>
                <w:spacing w:val="20"/>
              </w:rPr>
              <w:t>辦理</w:t>
            </w:r>
            <w:r w:rsidRPr="00902BA8">
              <w:rPr>
                <w:rFonts w:hint="eastAsia"/>
                <w:spacing w:val="10"/>
                <w:kern w:val="2"/>
              </w:rPr>
              <w:t>基金銷</w:t>
            </w:r>
            <w:r w:rsidRPr="0066405E">
              <w:rPr>
                <w:rFonts w:asciiTheme="minorEastAsia" w:eastAsiaTheme="minorEastAsia" w:hAnsiTheme="minorEastAsia" w:cs="Times New Roman" w:hint="eastAsia"/>
                <w:color w:val="000000" w:themeColor="text1"/>
              </w:rPr>
              <w:t>售業務，是否充分知悉並評估客戶之投資知識、投資經驗、財務狀況及其承受</w:t>
            </w:r>
            <w:r w:rsidRPr="00902BA8">
              <w:rPr>
                <w:rFonts w:asciiTheme="minorEastAsia" w:eastAsiaTheme="minorEastAsia" w:hAnsiTheme="minorEastAsia" w:cs="Times New Roman" w:hint="eastAsia"/>
                <w:color w:val="000000" w:themeColor="text1"/>
              </w:rPr>
              <w:t>投資風險程度，銷售人員是否交付客戶風險預告書以充分揭露相關投資風險。</w:t>
            </w:r>
          </w:p>
          <w:p w14:paraId="19963FD6" w14:textId="4569A21C"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對於一定金額以上或疑似洗錢之基金交易，其申購、買回或轉換，是否留存完整正確之交易紀錄及憑證，並是否依洗錢防制法規定辦理。</w:t>
            </w:r>
          </w:p>
          <w:p w14:paraId="358A3B43" w14:textId="77777777"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內部控制制度是否包括充分瞭解客戶、銷售行為、短線交易防制、洗錢防制及法令所訂應遵循之作業原則。</w:t>
            </w:r>
          </w:p>
          <w:p w14:paraId="007CD9A7" w14:textId="41B17E07"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是否要求申購人將申購價款直接</w:t>
            </w:r>
            <w:proofErr w:type="gramStart"/>
            <w:r w:rsidRPr="00902BA8">
              <w:rPr>
                <w:rFonts w:asciiTheme="minorEastAsia" w:eastAsiaTheme="minorEastAsia" w:hAnsiTheme="minorEastAsia" w:cs="Times New Roman" w:hint="eastAsia"/>
                <w:color w:val="000000" w:themeColor="text1"/>
              </w:rPr>
              <w:t>匯</w:t>
            </w:r>
            <w:proofErr w:type="gramEnd"/>
            <w:r w:rsidRPr="00902BA8">
              <w:rPr>
                <w:rFonts w:asciiTheme="minorEastAsia" w:eastAsiaTheme="minorEastAsia" w:hAnsiTheme="minorEastAsia" w:cs="Times New Roman" w:hint="eastAsia"/>
                <w:color w:val="000000" w:themeColor="text1"/>
              </w:rPr>
              <w:t>撥至基金保管機構設立之基金專戶。</w:t>
            </w:r>
          </w:p>
          <w:p w14:paraId="51AF233F" w14:textId="2A8C76D0" w:rsidR="00902BA8" w:rsidRDefault="00902BA8" w:rsidP="002F5976">
            <w:pPr>
              <w:pStyle w:val="ac"/>
              <w:numPr>
                <w:ilvl w:val="0"/>
                <w:numId w:val="26"/>
              </w:numPr>
              <w:ind w:leftChars="0" w:left="720" w:right="68"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公司及所屬人員，是否以善良管理人之注意義務及忠實義務，本誠實信用原則，</w:t>
            </w:r>
            <w:r w:rsidRPr="00BD6749">
              <w:rPr>
                <w:rFonts w:asciiTheme="minorEastAsia" w:eastAsiaTheme="minorEastAsia" w:hAnsiTheme="minorEastAsia" w:cs="Times New Roman" w:hint="eastAsia"/>
                <w:color w:val="000000" w:themeColor="text1"/>
              </w:rPr>
              <w:t>辦理基金銷售業務</w:t>
            </w:r>
            <w:r w:rsidRPr="00612D26">
              <w:rPr>
                <w:rFonts w:asciiTheme="minorEastAsia" w:eastAsiaTheme="minorEastAsia" w:hAnsiTheme="minorEastAsia" w:cs="Times New Roman" w:hint="eastAsia"/>
                <w:color w:val="FF0000"/>
                <w:u w:val="single"/>
              </w:rPr>
              <w:t>。</w:t>
            </w:r>
            <w:r w:rsidRPr="00BD6749">
              <w:rPr>
                <w:rFonts w:asciiTheme="minorEastAsia" w:eastAsiaTheme="minorEastAsia" w:hAnsiTheme="minorEastAsia" w:cs="Times New Roman" w:hint="eastAsia"/>
                <w:color w:val="FF0000"/>
                <w:u w:val="single"/>
              </w:rPr>
              <w:t>公司及所屬人員於辦理基金銷售業務時，對於基金投資人之個人</w:t>
            </w:r>
            <w:r w:rsidRPr="00BD6749">
              <w:rPr>
                <w:rFonts w:asciiTheme="minorEastAsia" w:eastAsiaTheme="minorEastAsia" w:hAnsiTheme="minorEastAsia" w:cs="Times New Roman" w:hint="eastAsia"/>
                <w:color w:val="FF0000"/>
                <w:u w:val="single"/>
              </w:rPr>
              <w:lastRenderedPageBreak/>
              <w:t>資料、往來交易資料及其他相關資料，除法令另有規定外，是否保守秘密。</w:t>
            </w:r>
          </w:p>
          <w:p w14:paraId="69B6E0B4" w14:textId="043E079C" w:rsidR="00A84947" w:rsidRDefault="00A84947" w:rsidP="00A84947">
            <w:pPr>
              <w:pStyle w:val="ac"/>
              <w:ind w:leftChars="0" w:left="722" w:right="69"/>
              <w:jc w:val="both"/>
              <w:rPr>
                <w:rFonts w:asciiTheme="minorEastAsia" w:eastAsiaTheme="minorEastAsia" w:hAnsiTheme="minorEastAsia" w:cs="Times New Roman"/>
                <w:color w:val="000000" w:themeColor="text1"/>
              </w:rPr>
            </w:pPr>
          </w:p>
          <w:p w14:paraId="5AB6A5E4" w14:textId="45D53A9D" w:rsidR="00A84947" w:rsidRDefault="00A84947" w:rsidP="00A84947">
            <w:pPr>
              <w:pStyle w:val="ac"/>
              <w:ind w:leftChars="0" w:left="722" w:right="69"/>
              <w:jc w:val="both"/>
              <w:rPr>
                <w:rFonts w:asciiTheme="minorEastAsia" w:eastAsiaTheme="minorEastAsia" w:hAnsiTheme="minorEastAsia" w:cs="Times New Roman"/>
                <w:color w:val="000000" w:themeColor="text1"/>
              </w:rPr>
            </w:pPr>
          </w:p>
          <w:p w14:paraId="203660BE" w14:textId="3158322A" w:rsidR="00A84947" w:rsidRDefault="00A84947" w:rsidP="00A84947">
            <w:pPr>
              <w:pStyle w:val="ac"/>
              <w:ind w:leftChars="0" w:left="722" w:right="69"/>
              <w:jc w:val="both"/>
              <w:rPr>
                <w:rFonts w:asciiTheme="minorEastAsia" w:eastAsiaTheme="minorEastAsia" w:hAnsiTheme="minorEastAsia" w:cs="Times New Roman"/>
                <w:color w:val="000000" w:themeColor="text1"/>
              </w:rPr>
            </w:pPr>
          </w:p>
          <w:p w14:paraId="51B147D8" w14:textId="79A1F5F2" w:rsidR="00BD6749" w:rsidRDefault="00BD6749" w:rsidP="00A84947">
            <w:pPr>
              <w:pStyle w:val="ac"/>
              <w:ind w:leftChars="0" w:left="722" w:right="69"/>
              <w:jc w:val="both"/>
              <w:rPr>
                <w:rFonts w:asciiTheme="minorEastAsia" w:eastAsiaTheme="minorEastAsia" w:hAnsiTheme="minorEastAsia" w:cs="Times New Roman"/>
                <w:color w:val="000000" w:themeColor="text1"/>
              </w:rPr>
            </w:pPr>
          </w:p>
          <w:p w14:paraId="55654D95" w14:textId="1F126FA4" w:rsidR="00BD6749" w:rsidRDefault="00BD6749" w:rsidP="00A84947">
            <w:pPr>
              <w:pStyle w:val="ac"/>
              <w:ind w:leftChars="0" w:left="722" w:right="69"/>
              <w:jc w:val="both"/>
              <w:rPr>
                <w:rFonts w:asciiTheme="minorEastAsia" w:eastAsiaTheme="minorEastAsia" w:hAnsiTheme="minorEastAsia" w:cs="Times New Roman"/>
                <w:color w:val="000000" w:themeColor="text1"/>
              </w:rPr>
            </w:pPr>
          </w:p>
          <w:p w14:paraId="2151AA3E" w14:textId="01EE16E7" w:rsidR="00BD6749" w:rsidRDefault="00615E85" w:rsidP="00615E85">
            <w:pPr>
              <w:pStyle w:val="ac"/>
              <w:ind w:leftChars="0" w:left="13" w:right="69"/>
              <w:jc w:val="both"/>
              <w:rPr>
                <w:rFonts w:asciiTheme="minorEastAsia" w:eastAsiaTheme="minorEastAsia" w:hAnsiTheme="minorEastAsia" w:cs="Times New Roman"/>
                <w:color w:val="000000" w:themeColor="text1"/>
              </w:rPr>
            </w:pPr>
            <w:r w:rsidRPr="00EF4D2C">
              <w:rPr>
                <w:rFonts w:cs="Times New Roman" w:hint="eastAsia"/>
                <w:color w:val="FF0000"/>
                <w:spacing w:val="20"/>
                <w:u w:val="single"/>
              </w:rPr>
              <w:t>(</w:t>
            </w:r>
            <w:r>
              <w:rPr>
                <w:rFonts w:cs="Times New Roman" w:hint="eastAsia"/>
                <w:color w:val="FF0000"/>
                <w:spacing w:val="20"/>
                <w:u w:val="single"/>
              </w:rPr>
              <w:t>項次調整</w:t>
            </w:r>
            <w:r w:rsidRPr="00EF4D2C">
              <w:rPr>
                <w:rFonts w:cs="Times New Roman" w:hint="eastAsia"/>
                <w:color w:val="FF0000"/>
                <w:spacing w:val="20"/>
                <w:u w:val="single"/>
              </w:rPr>
              <w:t>)</w:t>
            </w:r>
          </w:p>
          <w:p w14:paraId="2A841293" w14:textId="0EDC9919" w:rsidR="00A84947" w:rsidRDefault="00A84947" w:rsidP="00A84947">
            <w:pPr>
              <w:pStyle w:val="ac"/>
              <w:ind w:leftChars="0" w:left="722" w:right="69"/>
              <w:jc w:val="both"/>
              <w:rPr>
                <w:rFonts w:asciiTheme="minorEastAsia" w:eastAsiaTheme="minorEastAsia" w:hAnsiTheme="minorEastAsia" w:cs="Times New Roman"/>
                <w:color w:val="000000" w:themeColor="text1"/>
              </w:rPr>
            </w:pPr>
          </w:p>
          <w:p w14:paraId="3FEA156B" w14:textId="7641A65E" w:rsidR="00A84947" w:rsidRDefault="00A84947" w:rsidP="00A84947">
            <w:pPr>
              <w:pStyle w:val="ac"/>
              <w:ind w:leftChars="0" w:left="722" w:right="69"/>
              <w:jc w:val="both"/>
              <w:rPr>
                <w:rFonts w:asciiTheme="minorEastAsia" w:eastAsiaTheme="minorEastAsia" w:hAnsiTheme="minorEastAsia" w:cs="Times New Roman"/>
                <w:color w:val="000000" w:themeColor="text1"/>
              </w:rPr>
            </w:pPr>
          </w:p>
          <w:p w14:paraId="4F984CAC" w14:textId="77777777" w:rsidR="00A84947" w:rsidRPr="00902BA8" w:rsidRDefault="00A84947" w:rsidP="00A84947">
            <w:pPr>
              <w:pStyle w:val="ac"/>
              <w:ind w:leftChars="0" w:left="722" w:right="69"/>
              <w:jc w:val="both"/>
              <w:rPr>
                <w:rFonts w:asciiTheme="minorEastAsia" w:eastAsiaTheme="minorEastAsia" w:hAnsiTheme="minorEastAsia" w:cs="Times New Roman"/>
                <w:color w:val="000000" w:themeColor="text1"/>
              </w:rPr>
            </w:pPr>
          </w:p>
          <w:p w14:paraId="789B22F6" w14:textId="77777777"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辦理基金銷售業務之人員，是否未挪用客戶款項或受益憑證或有其他損及客戶權益之行為。證券投資信託基金受益憑證之交付，是否由證券投資信託事業依各基金之證券投資信託契約約定為之，不得由公司辦理。</w:t>
            </w:r>
          </w:p>
          <w:p w14:paraId="15F1331E" w14:textId="68935E72"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客戶申購證券投資信託基金，如非以書面方式提出申請者，公司是否依法令及中華民國證券投資信託暨顧問商業同業公會「國內證券投資信託基金電子交易作業準則」辦理。</w:t>
            </w:r>
          </w:p>
          <w:p w14:paraId="6142D459" w14:textId="4312BD8C"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公司是否建立可於客戶之申購申請書件上明確註記其受理申請之日期及時間之機制，惟客戶如非以書面而係以其它約定方式提出申請者，公司之相關作業系統是否具有明確記載上開訊息之功能，並保留稽核軌跡，備供查核。</w:t>
            </w:r>
          </w:p>
          <w:p w14:paraId="5BD93AFD" w14:textId="5242A568" w:rsidR="00902BA8" w:rsidRPr="00902BA8"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lastRenderedPageBreak/>
              <w:t>辦理基金買回業務是否建立可於受益人請求買回受益憑證之申請書件上明確註記其受理申請之日期及時間之機制，惟客戶如非以書面而係以其他約定方式提出申請者，公司辦理基金買回業務之相關作業系統是否具有明確記載上開訊息之功能，並保留稽核軌跡，備供查核。</w:t>
            </w:r>
          </w:p>
          <w:p w14:paraId="6CC9991A" w14:textId="4A74EEA3" w:rsidR="00805512" w:rsidRPr="005009CE" w:rsidRDefault="00902BA8" w:rsidP="0066405E">
            <w:pPr>
              <w:pStyle w:val="ac"/>
              <w:numPr>
                <w:ilvl w:val="0"/>
                <w:numId w:val="26"/>
              </w:numPr>
              <w:ind w:leftChars="0" w:left="722" w:right="69" w:hanging="709"/>
              <w:jc w:val="both"/>
              <w:rPr>
                <w:rFonts w:asciiTheme="minorEastAsia" w:eastAsiaTheme="minorEastAsia" w:hAnsiTheme="minorEastAsia" w:cs="Times New Roman"/>
                <w:color w:val="000000" w:themeColor="text1"/>
              </w:rPr>
            </w:pPr>
            <w:r w:rsidRPr="00902BA8">
              <w:rPr>
                <w:rFonts w:asciiTheme="minorEastAsia" w:eastAsiaTheme="minorEastAsia" w:hAnsiTheme="minorEastAsia" w:cs="Times New Roman" w:hint="eastAsia"/>
                <w:color w:val="000000" w:themeColor="text1"/>
              </w:rPr>
              <w:t>公司受期貨信託事業委任銷售、買回經核准募集發行之期貨信託基金，是否依期貨信託基金管理辦法相關規定辦理。</w:t>
            </w:r>
          </w:p>
          <w:p w14:paraId="4B8B5DE1" w14:textId="1D6215BC" w:rsidR="00805512" w:rsidRPr="005009CE" w:rsidRDefault="00A31A45" w:rsidP="00EF4D2C">
            <w:pPr>
              <w:spacing w:line="240" w:lineRule="auto"/>
              <w:ind w:right="28"/>
              <w:rPr>
                <w:rFonts w:asciiTheme="minorEastAsia" w:eastAsiaTheme="minorEastAsia" w:hAnsiTheme="minorEastAsia" w:cs="新細明體"/>
                <w:color w:val="000000" w:themeColor="text1"/>
                <w:spacing w:val="0"/>
                <w:kern w:val="0"/>
              </w:rPr>
            </w:pPr>
            <w:r w:rsidRPr="00EF4D2C">
              <w:rPr>
                <w:rFonts w:ascii="新細明體" w:eastAsia="新細明體" w:hAnsi="新細明體" w:cs="Times New Roman" w:hint="eastAsia"/>
                <w:color w:val="FF0000"/>
                <w:spacing w:val="20"/>
                <w:u w:val="single"/>
              </w:rPr>
              <w:t>(新增)</w:t>
            </w:r>
          </w:p>
        </w:tc>
        <w:tc>
          <w:tcPr>
            <w:tcW w:w="2377" w:type="dxa"/>
            <w:tcBorders>
              <w:top w:val="single" w:sz="12" w:space="0" w:color="auto"/>
            </w:tcBorders>
          </w:tcPr>
          <w:p w14:paraId="1E2EF02D" w14:textId="64A335D6" w:rsidR="00CD3BB3" w:rsidRDefault="00CD3BB3" w:rsidP="00CD3BB3">
            <w:pPr>
              <w:spacing w:line="240" w:lineRule="auto"/>
              <w:ind w:right="28"/>
              <w:rPr>
                <w:rFonts w:ascii="新細明體" w:eastAsia="新細明體" w:hAnsi="新細明體" w:cs="Times New Roman"/>
                <w:color w:val="FF0000"/>
                <w:spacing w:val="20"/>
                <w:u w:val="single"/>
              </w:rPr>
            </w:pPr>
          </w:p>
          <w:p w14:paraId="64554A07" w14:textId="77777777" w:rsidR="00CD3BB3" w:rsidRDefault="00CD3BB3" w:rsidP="00CD3BB3">
            <w:pPr>
              <w:spacing w:line="240" w:lineRule="auto"/>
              <w:ind w:right="28"/>
              <w:rPr>
                <w:rFonts w:ascii="新細明體" w:eastAsia="新細明體" w:hAnsi="新細明體" w:cs="Times New Roman"/>
                <w:color w:val="FF0000"/>
                <w:spacing w:val="20"/>
                <w:u w:val="single"/>
              </w:rPr>
            </w:pPr>
          </w:p>
          <w:p w14:paraId="3FFE97D1" w14:textId="78B97586" w:rsidR="00805512" w:rsidRPr="005009CE" w:rsidRDefault="00805512" w:rsidP="004E2D54">
            <w:pPr>
              <w:spacing w:line="240" w:lineRule="auto"/>
              <w:ind w:right="28"/>
              <w:rPr>
                <w:rFonts w:asciiTheme="minorEastAsia" w:eastAsiaTheme="minorEastAsia" w:hAnsiTheme="minorEastAsia" w:cs="新細明體"/>
                <w:color w:val="FF0000"/>
                <w:spacing w:val="0"/>
                <w:kern w:val="0"/>
                <w:u w:val="single"/>
              </w:rPr>
            </w:pPr>
            <w:r w:rsidRPr="005009CE">
              <w:rPr>
                <w:rFonts w:ascii="新細明體" w:eastAsia="新細明體" w:cs="Times New Roman" w:hint="eastAsia"/>
                <w:color w:val="FF0000"/>
                <w:spacing w:val="24"/>
                <w:kern w:val="0"/>
                <w:u w:val="single"/>
              </w:rPr>
              <w:t>配合內部控制制度CA-11</w:t>
            </w:r>
            <w:r w:rsidR="004E2D54">
              <w:rPr>
                <w:rFonts w:ascii="新細明體" w:eastAsia="新細明體" w:cs="Times New Roman" w:hint="eastAsia"/>
                <w:color w:val="FF0000"/>
                <w:spacing w:val="24"/>
                <w:kern w:val="0"/>
                <w:u w:val="single"/>
              </w:rPr>
              <w:t>80</w:t>
            </w:r>
            <w:r w:rsidRPr="005009CE">
              <w:rPr>
                <w:rFonts w:ascii="新細明體" w:eastAsia="新細明體" w:cs="Times New Roman" w:hint="eastAsia"/>
                <w:color w:val="FF0000"/>
                <w:spacing w:val="24"/>
                <w:kern w:val="0"/>
                <w:u w:val="single"/>
              </w:rPr>
              <w:t>0修正。</w:t>
            </w:r>
          </w:p>
        </w:tc>
      </w:tr>
    </w:tbl>
    <w:p w14:paraId="661CBD31" w14:textId="77777777" w:rsidR="0012263C" w:rsidRPr="009015DA" w:rsidRDefault="0012263C" w:rsidP="009015DA">
      <w:pPr>
        <w:pStyle w:val="1"/>
        <w:spacing w:after="0" w:line="20" w:lineRule="atLeast"/>
        <w:jc w:val="both"/>
        <w:rPr>
          <w:rFonts w:ascii="新細明體" w:eastAsia="新細明體" w:cs="新細明體"/>
          <w:color w:val="000000"/>
          <w:sz w:val="2"/>
          <w:szCs w:val="2"/>
        </w:rPr>
      </w:pPr>
    </w:p>
    <w:sectPr w:rsidR="0012263C" w:rsidRPr="009015DA">
      <w:footerReference w:type="default" r:id="rId8"/>
      <w:pgSz w:w="16840" w:h="11907" w:orient="landscape" w:code="9"/>
      <w:pgMar w:top="1021" w:right="964" w:bottom="964" w:left="1021" w:header="851" w:footer="85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771A7" w14:textId="77777777" w:rsidR="004F5B0D" w:rsidRDefault="004F5B0D" w:rsidP="00E87601">
      <w:pPr>
        <w:spacing w:line="240" w:lineRule="auto"/>
      </w:pPr>
      <w:r>
        <w:separator/>
      </w:r>
    </w:p>
  </w:endnote>
  <w:endnote w:type="continuationSeparator" w:id="0">
    <w:p w14:paraId="386A2690" w14:textId="77777777" w:rsidR="004F5B0D" w:rsidRDefault="004F5B0D" w:rsidP="00E87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727B9" w14:textId="729AE09F" w:rsidR="00C66564" w:rsidRDefault="00C66564" w:rsidP="009015DA">
    <w:pPr>
      <w:pStyle w:val="a7"/>
      <w:jc w:val="center"/>
    </w:pPr>
    <w:r>
      <w:fldChar w:fldCharType="begin"/>
    </w:r>
    <w:r>
      <w:instrText>PAGE   \* MERGEFORMAT</w:instrText>
    </w:r>
    <w:r>
      <w:fldChar w:fldCharType="separate"/>
    </w:r>
    <w:r w:rsidR="001966D5" w:rsidRPr="001966D5">
      <w:rPr>
        <w:noProof/>
        <w:lang w:val="zh-TW"/>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55A40" w14:textId="77777777" w:rsidR="004F5B0D" w:rsidRDefault="004F5B0D" w:rsidP="00E87601">
      <w:pPr>
        <w:spacing w:line="240" w:lineRule="auto"/>
      </w:pPr>
      <w:r>
        <w:separator/>
      </w:r>
    </w:p>
  </w:footnote>
  <w:footnote w:type="continuationSeparator" w:id="0">
    <w:p w14:paraId="0DA1F1B8" w14:textId="77777777" w:rsidR="004F5B0D" w:rsidRDefault="004F5B0D" w:rsidP="00E8760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D3BC6"/>
    <w:multiLevelType w:val="hybridMultilevel"/>
    <w:tmpl w:val="B712BFF8"/>
    <w:lvl w:ilvl="0" w:tplc="0409000F">
      <w:start w:val="1"/>
      <w:numFmt w:val="decimal"/>
      <w:lvlText w:val="%1."/>
      <w:lvlJc w:val="left"/>
      <w:pPr>
        <w:ind w:left="919" w:hanging="480"/>
      </w:pPr>
    </w:lvl>
    <w:lvl w:ilvl="1" w:tplc="04090019" w:tentative="1">
      <w:start w:val="1"/>
      <w:numFmt w:val="ideographTraditional"/>
      <w:lvlText w:val="%2、"/>
      <w:lvlJc w:val="left"/>
      <w:pPr>
        <w:ind w:left="1399" w:hanging="480"/>
      </w:pPr>
    </w:lvl>
    <w:lvl w:ilvl="2" w:tplc="0409001B" w:tentative="1">
      <w:start w:val="1"/>
      <w:numFmt w:val="lowerRoman"/>
      <w:lvlText w:val="%3."/>
      <w:lvlJc w:val="right"/>
      <w:pPr>
        <w:ind w:left="1879" w:hanging="480"/>
      </w:pPr>
    </w:lvl>
    <w:lvl w:ilvl="3" w:tplc="0409000F" w:tentative="1">
      <w:start w:val="1"/>
      <w:numFmt w:val="decimal"/>
      <w:lvlText w:val="%4."/>
      <w:lvlJc w:val="left"/>
      <w:pPr>
        <w:ind w:left="2359" w:hanging="480"/>
      </w:pPr>
    </w:lvl>
    <w:lvl w:ilvl="4" w:tplc="04090019" w:tentative="1">
      <w:start w:val="1"/>
      <w:numFmt w:val="ideographTraditional"/>
      <w:lvlText w:val="%5、"/>
      <w:lvlJc w:val="left"/>
      <w:pPr>
        <w:ind w:left="2839" w:hanging="480"/>
      </w:pPr>
    </w:lvl>
    <w:lvl w:ilvl="5" w:tplc="0409001B" w:tentative="1">
      <w:start w:val="1"/>
      <w:numFmt w:val="lowerRoman"/>
      <w:lvlText w:val="%6."/>
      <w:lvlJc w:val="right"/>
      <w:pPr>
        <w:ind w:left="3319" w:hanging="480"/>
      </w:pPr>
    </w:lvl>
    <w:lvl w:ilvl="6" w:tplc="0409000F" w:tentative="1">
      <w:start w:val="1"/>
      <w:numFmt w:val="decimal"/>
      <w:lvlText w:val="%7."/>
      <w:lvlJc w:val="left"/>
      <w:pPr>
        <w:ind w:left="3799" w:hanging="480"/>
      </w:pPr>
    </w:lvl>
    <w:lvl w:ilvl="7" w:tplc="04090019" w:tentative="1">
      <w:start w:val="1"/>
      <w:numFmt w:val="ideographTraditional"/>
      <w:lvlText w:val="%8、"/>
      <w:lvlJc w:val="left"/>
      <w:pPr>
        <w:ind w:left="4279" w:hanging="480"/>
      </w:pPr>
    </w:lvl>
    <w:lvl w:ilvl="8" w:tplc="0409001B" w:tentative="1">
      <w:start w:val="1"/>
      <w:numFmt w:val="lowerRoman"/>
      <w:lvlText w:val="%9."/>
      <w:lvlJc w:val="right"/>
      <w:pPr>
        <w:ind w:left="4759" w:hanging="480"/>
      </w:pPr>
    </w:lvl>
  </w:abstractNum>
  <w:abstractNum w:abstractNumId="1" w15:restartNumberingAfterBreak="0">
    <w:nsid w:val="0A5936F0"/>
    <w:multiLevelType w:val="hybridMultilevel"/>
    <w:tmpl w:val="12709430"/>
    <w:lvl w:ilvl="0" w:tplc="8EB8A456">
      <w:start w:val="5"/>
      <w:numFmt w:val="taiwaneseCountingThousand"/>
      <w:lvlText w:val="(%1)"/>
      <w:lvlJc w:val="left"/>
      <w:pPr>
        <w:ind w:left="450" w:hanging="450"/>
      </w:pPr>
      <w:rPr>
        <w:rFonts w:hint="default"/>
        <w:strike w:val="0"/>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D62053"/>
    <w:multiLevelType w:val="multilevel"/>
    <w:tmpl w:val="54A49204"/>
    <w:lvl w:ilvl="0">
      <w:start w:val="1"/>
      <w:numFmt w:val="taiwaneseCountingThousand"/>
      <w:suff w:val="space"/>
      <w:lvlText w:val="(%1)"/>
      <w:lvlJc w:val="left"/>
      <w:pPr>
        <w:ind w:left="567" w:hanging="567"/>
      </w:pPr>
      <w:rPr>
        <w:rFonts w:hint="eastAsia"/>
        <w:color w:val="FF0000"/>
        <w:u w:val="single"/>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3" w15:restartNumberingAfterBreak="0">
    <w:nsid w:val="195221B6"/>
    <w:multiLevelType w:val="hybridMultilevel"/>
    <w:tmpl w:val="CC1A807C"/>
    <w:lvl w:ilvl="0" w:tplc="1E529FCC">
      <w:start w:val="1"/>
      <w:numFmt w:val="decimal"/>
      <w:lvlText w:val="%1."/>
      <w:lvlJc w:val="left"/>
      <w:pPr>
        <w:ind w:left="900" w:hanging="375"/>
      </w:pPr>
      <w:rPr>
        <w:rFonts w:hint="default"/>
      </w:rPr>
    </w:lvl>
    <w:lvl w:ilvl="1" w:tplc="04090019" w:tentative="1">
      <w:start w:val="1"/>
      <w:numFmt w:val="ideographTraditional"/>
      <w:lvlText w:val="%2、"/>
      <w:lvlJc w:val="left"/>
      <w:pPr>
        <w:ind w:left="1485" w:hanging="480"/>
      </w:pPr>
    </w:lvl>
    <w:lvl w:ilvl="2" w:tplc="0409001B">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abstractNum w:abstractNumId="4" w15:restartNumberingAfterBreak="0">
    <w:nsid w:val="1A84656B"/>
    <w:multiLevelType w:val="hybridMultilevel"/>
    <w:tmpl w:val="0D5E3E26"/>
    <w:lvl w:ilvl="0" w:tplc="0409000F">
      <w:start w:val="1"/>
      <w:numFmt w:val="decimal"/>
      <w:lvlText w:val="%1."/>
      <w:lvlJc w:val="left"/>
      <w:pPr>
        <w:ind w:left="966" w:hanging="480"/>
      </w:pPr>
    </w:lvl>
    <w:lvl w:ilvl="1" w:tplc="04090019" w:tentative="1">
      <w:start w:val="1"/>
      <w:numFmt w:val="ideographTraditional"/>
      <w:lvlText w:val="%2、"/>
      <w:lvlJc w:val="left"/>
      <w:pPr>
        <w:ind w:left="1446" w:hanging="480"/>
      </w:pPr>
    </w:lvl>
    <w:lvl w:ilvl="2" w:tplc="0409001B" w:tentative="1">
      <w:start w:val="1"/>
      <w:numFmt w:val="lowerRoman"/>
      <w:lvlText w:val="%3."/>
      <w:lvlJc w:val="right"/>
      <w:pPr>
        <w:ind w:left="1926" w:hanging="480"/>
      </w:pPr>
    </w:lvl>
    <w:lvl w:ilvl="3" w:tplc="0409000F" w:tentative="1">
      <w:start w:val="1"/>
      <w:numFmt w:val="decimal"/>
      <w:lvlText w:val="%4."/>
      <w:lvlJc w:val="left"/>
      <w:pPr>
        <w:ind w:left="2406" w:hanging="480"/>
      </w:pPr>
    </w:lvl>
    <w:lvl w:ilvl="4" w:tplc="04090019" w:tentative="1">
      <w:start w:val="1"/>
      <w:numFmt w:val="ideographTraditional"/>
      <w:lvlText w:val="%5、"/>
      <w:lvlJc w:val="left"/>
      <w:pPr>
        <w:ind w:left="2886" w:hanging="480"/>
      </w:pPr>
    </w:lvl>
    <w:lvl w:ilvl="5" w:tplc="0409001B" w:tentative="1">
      <w:start w:val="1"/>
      <w:numFmt w:val="lowerRoman"/>
      <w:lvlText w:val="%6."/>
      <w:lvlJc w:val="right"/>
      <w:pPr>
        <w:ind w:left="3366" w:hanging="480"/>
      </w:pPr>
    </w:lvl>
    <w:lvl w:ilvl="6" w:tplc="0409000F" w:tentative="1">
      <w:start w:val="1"/>
      <w:numFmt w:val="decimal"/>
      <w:lvlText w:val="%7."/>
      <w:lvlJc w:val="left"/>
      <w:pPr>
        <w:ind w:left="3846" w:hanging="480"/>
      </w:pPr>
    </w:lvl>
    <w:lvl w:ilvl="7" w:tplc="04090019" w:tentative="1">
      <w:start w:val="1"/>
      <w:numFmt w:val="ideographTraditional"/>
      <w:lvlText w:val="%8、"/>
      <w:lvlJc w:val="left"/>
      <w:pPr>
        <w:ind w:left="4326" w:hanging="480"/>
      </w:pPr>
    </w:lvl>
    <w:lvl w:ilvl="8" w:tplc="0409001B" w:tentative="1">
      <w:start w:val="1"/>
      <w:numFmt w:val="lowerRoman"/>
      <w:lvlText w:val="%9."/>
      <w:lvlJc w:val="right"/>
      <w:pPr>
        <w:ind w:left="4806" w:hanging="480"/>
      </w:pPr>
    </w:lvl>
  </w:abstractNum>
  <w:abstractNum w:abstractNumId="5" w15:restartNumberingAfterBreak="0">
    <w:nsid w:val="22A95A2D"/>
    <w:multiLevelType w:val="hybridMultilevel"/>
    <w:tmpl w:val="6FD474F4"/>
    <w:lvl w:ilvl="0" w:tplc="250E0822">
      <w:start w:val="33"/>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59160E1"/>
    <w:multiLevelType w:val="hybridMultilevel"/>
    <w:tmpl w:val="AE0EED00"/>
    <w:lvl w:ilvl="0" w:tplc="0370375C">
      <w:start w:val="1"/>
      <w:numFmt w:val="taiwaneseCountingThousand"/>
      <w:lvlText w:val="(%1)"/>
      <w:lvlJc w:val="left"/>
      <w:pPr>
        <w:ind w:left="450" w:hanging="450"/>
      </w:pPr>
      <w:rPr>
        <w:rFonts w:hint="default"/>
      </w:rPr>
    </w:lvl>
    <w:lvl w:ilvl="1" w:tplc="A6522DCA">
      <w:start w:val="1"/>
      <w:numFmt w:val="decimal"/>
      <w:lvlText w:val="(%2)"/>
      <w:lvlJc w:val="left"/>
      <w:pPr>
        <w:ind w:left="1200" w:hanging="720"/>
      </w:pPr>
      <w:rPr>
        <w:rFonts w:asciiTheme="minorEastAsia" w:eastAsiaTheme="minorEastAsia" w:hAnsiTheme="minorEastAsia" w:cs="標楷體"/>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A7638AA"/>
    <w:multiLevelType w:val="hybridMultilevel"/>
    <w:tmpl w:val="FD7AB878"/>
    <w:lvl w:ilvl="0" w:tplc="197AD79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BB74DD7"/>
    <w:multiLevelType w:val="multilevel"/>
    <w:tmpl w:val="E8826B04"/>
    <w:lvl w:ilvl="0">
      <w:start w:val="3"/>
      <w:numFmt w:val="taiwaneseCountingThousand"/>
      <w:suff w:val="nothing"/>
      <w:lvlText w:val="%1、"/>
      <w:lvlJc w:val="left"/>
      <w:pPr>
        <w:ind w:left="482" w:hanging="482"/>
      </w:pPr>
      <w:rPr>
        <w:rFonts w:ascii="Times New Roman" w:hAnsi="Times New Roman" w:cs="Times New Roman" w:hint="eastAsia"/>
      </w:rPr>
    </w:lvl>
    <w:lvl w:ilvl="1">
      <w:start w:val="1"/>
      <w:numFmt w:val="taiwaneseCountingThousand"/>
      <w:suff w:val="nothing"/>
      <w:lvlText w:val="(%2)"/>
      <w:lvlJc w:val="left"/>
      <w:pPr>
        <w:ind w:left="964" w:hanging="397"/>
      </w:pPr>
      <w:rPr>
        <w:rFonts w:ascii="Times New Roman" w:hAnsi="Times New Roman" w:cs="Times New Roman" w:hint="eastAsia"/>
        <w:color w:val="auto"/>
      </w:rPr>
    </w:lvl>
    <w:lvl w:ilvl="2">
      <w:start w:val="1"/>
      <w:numFmt w:val="decimal"/>
      <w:suff w:val="nothing"/>
      <w:lvlText w:val="%3."/>
      <w:lvlJc w:val="left"/>
      <w:pPr>
        <w:ind w:left="1588" w:hanging="454"/>
      </w:pPr>
      <w:rPr>
        <w:rFonts w:ascii="Times New Roman" w:hAnsi="Times New Roman" w:cs="Times New Roman" w:hint="eastAsia"/>
      </w:rPr>
    </w:lvl>
    <w:lvl w:ilvl="3">
      <w:start w:val="1"/>
      <w:numFmt w:val="taiwaneseCountingThousand"/>
      <w:suff w:val="nothing"/>
      <w:lvlText w:val="%4、"/>
      <w:lvlJc w:val="left"/>
      <w:pPr>
        <w:ind w:left="1984" w:hanging="708"/>
      </w:pPr>
      <w:rPr>
        <w:rFonts w:ascii="Times New Roman" w:hAnsi="Times New Roman" w:cs="Times New Roman" w:hint="eastAsia"/>
      </w:rPr>
    </w:lvl>
    <w:lvl w:ilvl="4">
      <w:start w:val="1"/>
      <w:numFmt w:val="decimal"/>
      <w:lvlText w:val="%5."/>
      <w:lvlJc w:val="left"/>
      <w:pPr>
        <w:tabs>
          <w:tab w:val="num" w:pos="2551"/>
        </w:tabs>
        <w:ind w:left="2551" w:hanging="850"/>
      </w:pPr>
      <w:rPr>
        <w:rFonts w:ascii="Times New Roman" w:hAnsi="Times New Roman" w:cs="Times New Roman" w:hint="eastAsia"/>
      </w:rPr>
    </w:lvl>
    <w:lvl w:ilvl="5">
      <w:start w:val="1"/>
      <w:numFmt w:val="decimal"/>
      <w:lvlText w:val="%6)"/>
      <w:lvlJc w:val="left"/>
      <w:pPr>
        <w:tabs>
          <w:tab w:val="num" w:pos="3260"/>
        </w:tabs>
        <w:ind w:left="3260" w:hanging="113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9" w15:restartNumberingAfterBreak="0">
    <w:nsid w:val="36D833F6"/>
    <w:multiLevelType w:val="hybridMultilevel"/>
    <w:tmpl w:val="7AB872B4"/>
    <w:lvl w:ilvl="0" w:tplc="833C23B8">
      <w:start w:val="1"/>
      <w:numFmt w:val="decimal"/>
      <w:lvlText w:val="%1."/>
      <w:lvlJc w:val="left"/>
      <w:pPr>
        <w:ind w:left="604" w:hanging="360"/>
      </w:pPr>
      <w:rPr>
        <w:rFonts w:hint="default"/>
      </w:rPr>
    </w:lvl>
    <w:lvl w:ilvl="1" w:tplc="04090019" w:tentative="1">
      <w:start w:val="1"/>
      <w:numFmt w:val="ideographTraditional"/>
      <w:lvlText w:val="%2、"/>
      <w:lvlJc w:val="left"/>
      <w:pPr>
        <w:ind w:left="1204" w:hanging="480"/>
      </w:pPr>
    </w:lvl>
    <w:lvl w:ilvl="2" w:tplc="0409001B" w:tentative="1">
      <w:start w:val="1"/>
      <w:numFmt w:val="lowerRoman"/>
      <w:lvlText w:val="%3."/>
      <w:lvlJc w:val="right"/>
      <w:pPr>
        <w:ind w:left="1684" w:hanging="480"/>
      </w:pPr>
    </w:lvl>
    <w:lvl w:ilvl="3" w:tplc="0409000F" w:tentative="1">
      <w:start w:val="1"/>
      <w:numFmt w:val="decimal"/>
      <w:lvlText w:val="%4."/>
      <w:lvlJc w:val="left"/>
      <w:pPr>
        <w:ind w:left="2164" w:hanging="480"/>
      </w:pPr>
    </w:lvl>
    <w:lvl w:ilvl="4" w:tplc="04090019" w:tentative="1">
      <w:start w:val="1"/>
      <w:numFmt w:val="ideographTraditional"/>
      <w:lvlText w:val="%5、"/>
      <w:lvlJc w:val="left"/>
      <w:pPr>
        <w:ind w:left="2644" w:hanging="480"/>
      </w:pPr>
    </w:lvl>
    <w:lvl w:ilvl="5" w:tplc="0409001B" w:tentative="1">
      <w:start w:val="1"/>
      <w:numFmt w:val="lowerRoman"/>
      <w:lvlText w:val="%6."/>
      <w:lvlJc w:val="right"/>
      <w:pPr>
        <w:ind w:left="3124" w:hanging="480"/>
      </w:pPr>
    </w:lvl>
    <w:lvl w:ilvl="6" w:tplc="0409000F" w:tentative="1">
      <w:start w:val="1"/>
      <w:numFmt w:val="decimal"/>
      <w:lvlText w:val="%7."/>
      <w:lvlJc w:val="left"/>
      <w:pPr>
        <w:ind w:left="3604" w:hanging="480"/>
      </w:pPr>
    </w:lvl>
    <w:lvl w:ilvl="7" w:tplc="04090019" w:tentative="1">
      <w:start w:val="1"/>
      <w:numFmt w:val="ideographTraditional"/>
      <w:lvlText w:val="%8、"/>
      <w:lvlJc w:val="left"/>
      <w:pPr>
        <w:ind w:left="4084" w:hanging="480"/>
      </w:pPr>
    </w:lvl>
    <w:lvl w:ilvl="8" w:tplc="0409001B" w:tentative="1">
      <w:start w:val="1"/>
      <w:numFmt w:val="lowerRoman"/>
      <w:lvlText w:val="%9."/>
      <w:lvlJc w:val="right"/>
      <w:pPr>
        <w:ind w:left="4564" w:hanging="480"/>
      </w:pPr>
    </w:lvl>
  </w:abstractNum>
  <w:abstractNum w:abstractNumId="10" w15:restartNumberingAfterBreak="0">
    <w:nsid w:val="3A341672"/>
    <w:multiLevelType w:val="hybridMultilevel"/>
    <w:tmpl w:val="6CD0DD92"/>
    <w:lvl w:ilvl="0" w:tplc="F630411E">
      <w:start w:val="5"/>
      <w:numFmt w:val="taiwaneseCountingThousand"/>
      <w:lvlText w:val="(%1)"/>
      <w:lvlJc w:val="left"/>
      <w:pPr>
        <w:ind w:left="450" w:hanging="450"/>
      </w:pPr>
      <w:rPr>
        <w:rFonts w:hint="default"/>
        <w:strike w:val="0"/>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6917CFD"/>
    <w:multiLevelType w:val="hybridMultilevel"/>
    <w:tmpl w:val="920A362E"/>
    <w:lvl w:ilvl="0" w:tplc="4FFABF54">
      <w:start w:val="3"/>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6FC7B6B"/>
    <w:multiLevelType w:val="hybridMultilevel"/>
    <w:tmpl w:val="6FD474F4"/>
    <w:lvl w:ilvl="0" w:tplc="250E0822">
      <w:start w:val="33"/>
      <w:numFmt w:val="taiwaneseCountingThousand"/>
      <w:lvlText w:val="(%1)"/>
      <w:lvlJc w:val="left"/>
      <w:pPr>
        <w:ind w:left="450" w:hanging="45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F872169"/>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0173C08"/>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415677F"/>
    <w:multiLevelType w:val="hybridMultilevel"/>
    <w:tmpl w:val="83B64C24"/>
    <w:lvl w:ilvl="0" w:tplc="0409000F">
      <w:start w:val="1"/>
      <w:numFmt w:val="decimal"/>
      <w:lvlText w:val="%1."/>
      <w:lvlJc w:val="left"/>
      <w:pPr>
        <w:ind w:left="1060" w:hanging="480"/>
      </w:pPr>
    </w:lvl>
    <w:lvl w:ilvl="1" w:tplc="04090019" w:tentative="1">
      <w:start w:val="1"/>
      <w:numFmt w:val="ideographTraditional"/>
      <w:lvlText w:val="%2、"/>
      <w:lvlJc w:val="left"/>
      <w:pPr>
        <w:ind w:left="1540" w:hanging="480"/>
      </w:pPr>
    </w:lvl>
    <w:lvl w:ilvl="2" w:tplc="0409001B" w:tentative="1">
      <w:start w:val="1"/>
      <w:numFmt w:val="lowerRoman"/>
      <w:lvlText w:val="%3."/>
      <w:lvlJc w:val="right"/>
      <w:pPr>
        <w:ind w:left="2020" w:hanging="480"/>
      </w:pPr>
    </w:lvl>
    <w:lvl w:ilvl="3" w:tplc="0409000F" w:tentative="1">
      <w:start w:val="1"/>
      <w:numFmt w:val="decimal"/>
      <w:lvlText w:val="%4."/>
      <w:lvlJc w:val="left"/>
      <w:pPr>
        <w:ind w:left="2500" w:hanging="480"/>
      </w:pPr>
    </w:lvl>
    <w:lvl w:ilvl="4" w:tplc="04090019" w:tentative="1">
      <w:start w:val="1"/>
      <w:numFmt w:val="ideographTraditional"/>
      <w:lvlText w:val="%5、"/>
      <w:lvlJc w:val="left"/>
      <w:pPr>
        <w:ind w:left="2980" w:hanging="480"/>
      </w:pPr>
    </w:lvl>
    <w:lvl w:ilvl="5" w:tplc="0409001B" w:tentative="1">
      <w:start w:val="1"/>
      <w:numFmt w:val="lowerRoman"/>
      <w:lvlText w:val="%6."/>
      <w:lvlJc w:val="right"/>
      <w:pPr>
        <w:ind w:left="3460" w:hanging="480"/>
      </w:pPr>
    </w:lvl>
    <w:lvl w:ilvl="6" w:tplc="0409000F" w:tentative="1">
      <w:start w:val="1"/>
      <w:numFmt w:val="decimal"/>
      <w:lvlText w:val="%7."/>
      <w:lvlJc w:val="left"/>
      <w:pPr>
        <w:ind w:left="3940" w:hanging="480"/>
      </w:pPr>
    </w:lvl>
    <w:lvl w:ilvl="7" w:tplc="04090019" w:tentative="1">
      <w:start w:val="1"/>
      <w:numFmt w:val="ideographTraditional"/>
      <w:lvlText w:val="%8、"/>
      <w:lvlJc w:val="left"/>
      <w:pPr>
        <w:ind w:left="4420" w:hanging="480"/>
      </w:pPr>
    </w:lvl>
    <w:lvl w:ilvl="8" w:tplc="0409001B" w:tentative="1">
      <w:start w:val="1"/>
      <w:numFmt w:val="lowerRoman"/>
      <w:lvlText w:val="%9."/>
      <w:lvlJc w:val="right"/>
      <w:pPr>
        <w:ind w:left="4900" w:hanging="480"/>
      </w:pPr>
    </w:lvl>
  </w:abstractNum>
  <w:abstractNum w:abstractNumId="16" w15:restartNumberingAfterBreak="0">
    <w:nsid w:val="54EB15F7"/>
    <w:multiLevelType w:val="multilevel"/>
    <w:tmpl w:val="C76E6C66"/>
    <w:lvl w:ilvl="0">
      <w:start w:val="1"/>
      <w:numFmt w:val="taiwaneseCountingThousand"/>
      <w:suff w:val="space"/>
      <w:lvlText w:val="(%1)"/>
      <w:lvlJc w:val="left"/>
      <w:pPr>
        <w:ind w:left="567" w:hanging="567"/>
      </w:pPr>
      <w:rPr>
        <w:rFonts w:asciiTheme="minorEastAsia" w:eastAsiaTheme="minorEastAsia" w:hAnsiTheme="minorEastAsia" w:cs="新細明體"/>
      </w:rPr>
    </w:lvl>
    <w:lvl w:ilvl="1">
      <w:start w:val="1"/>
      <w:numFmt w:val="decimal"/>
      <w:suff w:val="space"/>
      <w:lvlText w:val="%2."/>
      <w:lvlJc w:val="left"/>
      <w:pPr>
        <w:ind w:left="851" w:hanging="284"/>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440"/>
        </w:tabs>
        <w:ind w:left="1440" w:hanging="360"/>
      </w:pPr>
      <w:rPr>
        <w:rFonts w:hint="eastAsia"/>
      </w:rPr>
    </w:lvl>
    <w:lvl w:ilvl="4">
      <w:start w:val="1"/>
      <w:numFmt w:val="decimal"/>
      <w:lvlText w:val="%5."/>
      <w:lvlJc w:val="left"/>
      <w:pPr>
        <w:tabs>
          <w:tab w:val="num" w:pos="1800"/>
        </w:tabs>
        <w:ind w:left="1800" w:hanging="360"/>
      </w:pPr>
      <w:rPr>
        <w:rFonts w:hint="eastAsia"/>
      </w:rPr>
    </w:lvl>
    <w:lvl w:ilvl="5">
      <w:start w:val="1"/>
      <w:numFmt w:val="lowerLetter"/>
      <w:lvlText w:val="%6."/>
      <w:lvlJc w:val="left"/>
      <w:pPr>
        <w:tabs>
          <w:tab w:val="num" w:pos="2160"/>
        </w:tabs>
        <w:ind w:left="2160" w:hanging="360"/>
      </w:pPr>
      <w:rPr>
        <w:rFonts w:hint="eastAsia"/>
      </w:rPr>
    </w:lvl>
    <w:lvl w:ilvl="6">
      <w:start w:val="1"/>
      <w:numFmt w:val="lowerRoman"/>
      <w:lvlText w:val="%7."/>
      <w:lvlJc w:val="left"/>
      <w:pPr>
        <w:tabs>
          <w:tab w:val="num" w:pos="2520"/>
        </w:tabs>
        <w:ind w:left="2520" w:hanging="360"/>
      </w:pPr>
      <w:rPr>
        <w:rFonts w:hint="eastAsia"/>
      </w:rPr>
    </w:lvl>
    <w:lvl w:ilvl="7">
      <w:start w:val="1"/>
      <w:numFmt w:val="lowerLetter"/>
      <w:lvlText w:val="%8."/>
      <w:lvlJc w:val="left"/>
      <w:pPr>
        <w:tabs>
          <w:tab w:val="num" w:pos="2880"/>
        </w:tabs>
        <w:ind w:left="2880" w:hanging="360"/>
      </w:pPr>
      <w:rPr>
        <w:rFonts w:hint="eastAsia"/>
      </w:rPr>
    </w:lvl>
    <w:lvl w:ilvl="8">
      <w:start w:val="1"/>
      <w:numFmt w:val="lowerRoman"/>
      <w:lvlText w:val="%9."/>
      <w:lvlJc w:val="left"/>
      <w:pPr>
        <w:tabs>
          <w:tab w:val="num" w:pos="3240"/>
        </w:tabs>
        <w:ind w:left="3240" w:hanging="360"/>
      </w:pPr>
      <w:rPr>
        <w:rFonts w:hint="eastAsia"/>
      </w:rPr>
    </w:lvl>
  </w:abstractNum>
  <w:abstractNum w:abstractNumId="17" w15:restartNumberingAfterBreak="0">
    <w:nsid w:val="56512408"/>
    <w:multiLevelType w:val="multilevel"/>
    <w:tmpl w:val="B87E4252"/>
    <w:lvl w:ilvl="0">
      <w:start w:val="1"/>
      <w:numFmt w:val="taiwaneseCountingThousand"/>
      <w:suff w:val="space"/>
      <w:lvlText w:val="%1、"/>
      <w:lvlJc w:val="left"/>
      <w:pPr>
        <w:ind w:left="539" w:hanging="539"/>
      </w:pPr>
      <w:rPr>
        <w:rFonts w:ascii="Times New Roman" w:hAnsi="Times New Roman" w:cs="Times New Roman" w:hint="eastAsia"/>
      </w:rPr>
    </w:lvl>
    <w:lvl w:ilvl="1">
      <w:start w:val="1"/>
      <w:numFmt w:val="taiwaneseCountingThousand"/>
      <w:suff w:val="space"/>
      <w:lvlText w:val="(%2)"/>
      <w:lvlJc w:val="left"/>
      <w:pPr>
        <w:ind w:left="1021" w:hanging="454"/>
      </w:pPr>
      <w:rPr>
        <w:rFonts w:ascii="Times New Roman" w:hAnsi="Times New Roman" w:cs="Times New Roman" w:hint="eastAsia"/>
      </w:rPr>
    </w:lvl>
    <w:lvl w:ilvl="2">
      <w:start w:val="1"/>
      <w:numFmt w:val="decimal"/>
      <w:lvlText w:val="%3."/>
      <w:lvlJc w:val="left"/>
      <w:pPr>
        <w:tabs>
          <w:tab w:val="num" w:pos="1588"/>
        </w:tabs>
        <w:ind w:left="1588" w:hanging="454"/>
      </w:pPr>
      <w:rPr>
        <w:rFonts w:ascii="Times New Roman" w:hAnsi="Times New Roman" w:cs="Times New Roman" w:hint="eastAsia"/>
      </w:rPr>
    </w:lvl>
    <w:lvl w:ilvl="3">
      <w:start w:val="1"/>
      <w:numFmt w:val="decimal"/>
      <w:lvlText w:val="(%4) "/>
      <w:lvlJc w:val="left"/>
      <w:pPr>
        <w:tabs>
          <w:tab w:val="num" w:pos="2126"/>
        </w:tabs>
        <w:ind w:left="2126" w:hanging="595"/>
      </w:pPr>
      <w:rPr>
        <w:rFonts w:ascii="Times New Roman" w:hAnsi="Times New Roman" w:cs="Times New Roman" w:hint="eastAsia"/>
      </w:rPr>
    </w:lvl>
    <w:lvl w:ilvl="4">
      <w:start w:val="1"/>
      <w:numFmt w:val="upperLetter"/>
      <w:suff w:val="space"/>
      <w:lvlText w:val="%5."/>
      <w:lvlJc w:val="left"/>
      <w:pPr>
        <w:ind w:left="2041" w:firstLine="170"/>
      </w:pPr>
      <w:rPr>
        <w:rFonts w:ascii="Times New Roman" w:hAnsi="Times New Roman" w:cs="Times New Roman" w:hint="eastAsia"/>
      </w:rPr>
    </w:lvl>
    <w:lvl w:ilvl="5">
      <w:start w:val="1"/>
      <w:numFmt w:val="lowerLetter"/>
      <w:suff w:val="space"/>
      <w:lvlText w:val="%6."/>
      <w:lvlJc w:val="left"/>
      <w:pPr>
        <w:ind w:left="2892" w:hanging="284"/>
      </w:pPr>
      <w:rPr>
        <w:rFonts w:ascii="Times New Roman" w:hAnsi="Times New Roman" w:cs="Times New Roman" w:hint="eastAsia"/>
      </w:rPr>
    </w:lvl>
    <w:lvl w:ilvl="6">
      <w:start w:val="1"/>
      <w:numFmt w:val="decimal"/>
      <w:lvlText w:val="(%7)"/>
      <w:lvlJc w:val="left"/>
      <w:pPr>
        <w:tabs>
          <w:tab w:val="num" w:pos="3827"/>
        </w:tabs>
        <w:ind w:left="3827" w:hanging="1276"/>
      </w:pPr>
      <w:rPr>
        <w:rFonts w:ascii="Times New Roman" w:hAnsi="Times New Roman" w:cs="Times New Roman" w:hint="eastAsia"/>
      </w:rPr>
    </w:lvl>
    <w:lvl w:ilvl="7">
      <w:start w:val="1"/>
      <w:numFmt w:val="lowerLetter"/>
      <w:lvlText w:val="%8."/>
      <w:lvlJc w:val="left"/>
      <w:pPr>
        <w:tabs>
          <w:tab w:val="num" w:pos="4394"/>
        </w:tabs>
        <w:ind w:left="4394" w:hanging="1418"/>
      </w:pPr>
      <w:rPr>
        <w:rFonts w:ascii="Times New Roman" w:hAnsi="Times New Roman" w:cs="Times New Roman" w:hint="eastAsia"/>
      </w:rPr>
    </w:lvl>
    <w:lvl w:ilvl="8">
      <w:start w:val="1"/>
      <w:numFmt w:val="lowerLetter"/>
      <w:lvlText w:val="%9)"/>
      <w:lvlJc w:val="left"/>
      <w:pPr>
        <w:tabs>
          <w:tab w:val="num" w:pos="5102"/>
        </w:tabs>
        <w:ind w:left="5102" w:hanging="1700"/>
      </w:pPr>
      <w:rPr>
        <w:rFonts w:ascii="Times New Roman" w:hAnsi="Times New Roman" w:cs="Times New Roman" w:hint="eastAsia"/>
      </w:rPr>
    </w:lvl>
  </w:abstractNum>
  <w:abstractNum w:abstractNumId="18" w15:restartNumberingAfterBreak="0">
    <w:nsid w:val="5FD64CFC"/>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635E5A1F"/>
    <w:multiLevelType w:val="hybridMultilevel"/>
    <w:tmpl w:val="B0F64B8C"/>
    <w:lvl w:ilvl="0" w:tplc="D4E4E21A">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63C36D97"/>
    <w:multiLevelType w:val="hybridMultilevel"/>
    <w:tmpl w:val="D8D4DF9E"/>
    <w:lvl w:ilvl="0" w:tplc="2CE6DC04">
      <w:start w:val="5"/>
      <w:numFmt w:val="taiwaneseCountingThousand"/>
      <w:lvlText w:val="(%1)"/>
      <w:lvlJc w:val="left"/>
      <w:pPr>
        <w:ind w:left="450" w:hanging="450"/>
      </w:pPr>
      <w:rPr>
        <w:rFonts w:hint="default"/>
        <w:strike w:val="0"/>
        <w:color w:val="FF0000"/>
        <w:u w:val="singl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DB338DC"/>
    <w:multiLevelType w:val="hybridMultilevel"/>
    <w:tmpl w:val="0F381358"/>
    <w:lvl w:ilvl="0" w:tplc="5D74C4C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72D53226"/>
    <w:multiLevelType w:val="singleLevel"/>
    <w:tmpl w:val="4AFE4F32"/>
    <w:lvl w:ilvl="0">
      <w:start w:val="1"/>
      <w:numFmt w:val="taiwaneseCountingThousand"/>
      <w:lvlText w:val="%1、"/>
      <w:legacy w:legacy="1" w:legacySpace="0" w:legacyIndent="510"/>
      <w:lvlJc w:val="left"/>
      <w:pPr>
        <w:ind w:left="510" w:hanging="510"/>
      </w:pPr>
      <w:rPr>
        <w:rFonts w:cs="Times New Roman"/>
        <w:color w:val="auto"/>
      </w:rPr>
    </w:lvl>
  </w:abstractNum>
  <w:abstractNum w:abstractNumId="23" w15:restartNumberingAfterBreak="0">
    <w:nsid w:val="74885B95"/>
    <w:multiLevelType w:val="hybridMultilevel"/>
    <w:tmpl w:val="B8A87B4A"/>
    <w:lvl w:ilvl="0" w:tplc="B01E11F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77E9069D"/>
    <w:multiLevelType w:val="hybridMultilevel"/>
    <w:tmpl w:val="42FC13AA"/>
    <w:lvl w:ilvl="0" w:tplc="7F229D1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89B1802"/>
    <w:multiLevelType w:val="hybridMultilevel"/>
    <w:tmpl w:val="5874DDC8"/>
    <w:lvl w:ilvl="0" w:tplc="7AF454A0">
      <w:start w:val="9"/>
      <w:numFmt w:val="taiwaneseCountingThousand"/>
      <w:lvlText w:val="(%1)"/>
      <w:lvlJc w:val="left"/>
      <w:pPr>
        <w:ind w:left="450" w:hanging="45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630328775">
    <w:abstractNumId w:val="22"/>
  </w:num>
  <w:num w:numId="2" w16cid:durableId="1722364583">
    <w:abstractNumId w:val="17"/>
  </w:num>
  <w:num w:numId="3" w16cid:durableId="1393851554">
    <w:abstractNumId w:val="8"/>
  </w:num>
  <w:num w:numId="4" w16cid:durableId="2096778672">
    <w:abstractNumId w:val="2"/>
  </w:num>
  <w:num w:numId="5" w16cid:durableId="67584323">
    <w:abstractNumId w:val="16"/>
  </w:num>
  <w:num w:numId="6" w16cid:durableId="1724597285">
    <w:abstractNumId w:val="6"/>
  </w:num>
  <w:num w:numId="7" w16cid:durableId="1233201984">
    <w:abstractNumId w:val="19"/>
  </w:num>
  <w:num w:numId="8" w16cid:durableId="413823543">
    <w:abstractNumId w:val="9"/>
  </w:num>
  <w:num w:numId="9" w16cid:durableId="1249577068">
    <w:abstractNumId w:val="3"/>
  </w:num>
  <w:num w:numId="10" w16cid:durableId="1686515992">
    <w:abstractNumId w:val="4"/>
  </w:num>
  <w:num w:numId="11" w16cid:durableId="1615480686">
    <w:abstractNumId w:val="0"/>
  </w:num>
  <w:num w:numId="12" w16cid:durableId="376320128">
    <w:abstractNumId w:val="7"/>
  </w:num>
  <w:num w:numId="13" w16cid:durableId="477653921">
    <w:abstractNumId w:val="21"/>
  </w:num>
  <w:num w:numId="14" w16cid:durableId="678965863">
    <w:abstractNumId w:val="24"/>
  </w:num>
  <w:num w:numId="15" w16cid:durableId="569272643">
    <w:abstractNumId w:val="15"/>
  </w:num>
  <w:num w:numId="16" w16cid:durableId="1641618612">
    <w:abstractNumId w:val="12"/>
  </w:num>
  <w:num w:numId="17" w16cid:durableId="1249385460">
    <w:abstractNumId w:val="1"/>
  </w:num>
  <w:num w:numId="18" w16cid:durableId="379745585">
    <w:abstractNumId w:val="5"/>
  </w:num>
  <w:num w:numId="19" w16cid:durableId="1018701172">
    <w:abstractNumId w:val="14"/>
  </w:num>
  <w:num w:numId="20" w16cid:durableId="672608982">
    <w:abstractNumId w:val="11"/>
  </w:num>
  <w:num w:numId="21" w16cid:durableId="1774396980">
    <w:abstractNumId w:val="18"/>
  </w:num>
  <w:num w:numId="22" w16cid:durableId="2110195773">
    <w:abstractNumId w:val="23"/>
  </w:num>
  <w:num w:numId="23" w16cid:durableId="2010672308">
    <w:abstractNumId w:val="13"/>
  </w:num>
  <w:num w:numId="24" w16cid:durableId="1911695657">
    <w:abstractNumId w:val="25"/>
  </w:num>
  <w:num w:numId="25" w16cid:durableId="1707025952">
    <w:abstractNumId w:val="20"/>
  </w:num>
  <w:num w:numId="26" w16cid:durableId="11227886">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81"/>
  <w:doNotHyphenateCaps/>
  <w:drawingGridHorizontalSpacing w:val="13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601"/>
    <w:rsid w:val="00002707"/>
    <w:rsid w:val="000076F0"/>
    <w:rsid w:val="000078DD"/>
    <w:rsid w:val="00010B23"/>
    <w:rsid w:val="00010CB6"/>
    <w:rsid w:val="00013262"/>
    <w:rsid w:val="00017568"/>
    <w:rsid w:val="000178B1"/>
    <w:rsid w:val="00020581"/>
    <w:rsid w:val="00022AA7"/>
    <w:rsid w:val="00026815"/>
    <w:rsid w:val="00027C25"/>
    <w:rsid w:val="00030C6E"/>
    <w:rsid w:val="00031C25"/>
    <w:rsid w:val="00032BD7"/>
    <w:rsid w:val="00032F43"/>
    <w:rsid w:val="00032FDF"/>
    <w:rsid w:val="000362FC"/>
    <w:rsid w:val="00042141"/>
    <w:rsid w:val="00043631"/>
    <w:rsid w:val="0004440E"/>
    <w:rsid w:val="00044EBF"/>
    <w:rsid w:val="0004617E"/>
    <w:rsid w:val="0004695F"/>
    <w:rsid w:val="00046CA7"/>
    <w:rsid w:val="0005494B"/>
    <w:rsid w:val="00056D62"/>
    <w:rsid w:val="00056FA1"/>
    <w:rsid w:val="0006572E"/>
    <w:rsid w:val="00065B63"/>
    <w:rsid w:val="000713AD"/>
    <w:rsid w:val="000717BF"/>
    <w:rsid w:val="00071AE9"/>
    <w:rsid w:val="00072071"/>
    <w:rsid w:val="00074C57"/>
    <w:rsid w:val="000819B6"/>
    <w:rsid w:val="00083A2B"/>
    <w:rsid w:val="0008545B"/>
    <w:rsid w:val="000866E1"/>
    <w:rsid w:val="00094277"/>
    <w:rsid w:val="000947F2"/>
    <w:rsid w:val="000948EF"/>
    <w:rsid w:val="00095146"/>
    <w:rsid w:val="00096C09"/>
    <w:rsid w:val="00097C5A"/>
    <w:rsid w:val="000A0E22"/>
    <w:rsid w:val="000A1571"/>
    <w:rsid w:val="000A234A"/>
    <w:rsid w:val="000A29EE"/>
    <w:rsid w:val="000A65F9"/>
    <w:rsid w:val="000B05A0"/>
    <w:rsid w:val="000B0AAF"/>
    <w:rsid w:val="000B111B"/>
    <w:rsid w:val="000B1AF9"/>
    <w:rsid w:val="000B24A0"/>
    <w:rsid w:val="000B2DEF"/>
    <w:rsid w:val="000B3012"/>
    <w:rsid w:val="000B3B6A"/>
    <w:rsid w:val="000B41FB"/>
    <w:rsid w:val="000B501B"/>
    <w:rsid w:val="000C0F00"/>
    <w:rsid w:val="000C11F0"/>
    <w:rsid w:val="000C1919"/>
    <w:rsid w:val="000C3D19"/>
    <w:rsid w:val="000C7892"/>
    <w:rsid w:val="000C79E6"/>
    <w:rsid w:val="000C7D5A"/>
    <w:rsid w:val="000C7FB1"/>
    <w:rsid w:val="000D2915"/>
    <w:rsid w:val="000D6958"/>
    <w:rsid w:val="000E05C8"/>
    <w:rsid w:val="000E2DE4"/>
    <w:rsid w:val="000E68F2"/>
    <w:rsid w:val="000F13A6"/>
    <w:rsid w:val="000F36B2"/>
    <w:rsid w:val="000F513D"/>
    <w:rsid w:val="0010731D"/>
    <w:rsid w:val="001078B4"/>
    <w:rsid w:val="00107B1D"/>
    <w:rsid w:val="001117C9"/>
    <w:rsid w:val="00112B23"/>
    <w:rsid w:val="00114A0E"/>
    <w:rsid w:val="001222CF"/>
    <w:rsid w:val="0012263C"/>
    <w:rsid w:val="00132C94"/>
    <w:rsid w:val="00134EA0"/>
    <w:rsid w:val="00141D39"/>
    <w:rsid w:val="001444BB"/>
    <w:rsid w:val="00145E01"/>
    <w:rsid w:val="00147B25"/>
    <w:rsid w:val="00151D60"/>
    <w:rsid w:val="00153C81"/>
    <w:rsid w:val="0015687D"/>
    <w:rsid w:val="00162AA2"/>
    <w:rsid w:val="00163302"/>
    <w:rsid w:val="00166115"/>
    <w:rsid w:val="00166B82"/>
    <w:rsid w:val="0016782A"/>
    <w:rsid w:val="001811AA"/>
    <w:rsid w:val="001812B0"/>
    <w:rsid w:val="001833E6"/>
    <w:rsid w:val="00187DCA"/>
    <w:rsid w:val="00191618"/>
    <w:rsid w:val="00193D1E"/>
    <w:rsid w:val="001966D5"/>
    <w:rsid w:val="0019755E"/>
    <w:rsid w:val="001979AC"/>
    <w:rsid w:val="001A2F38"/>
    <w:rsid w:val="001A4ADE"/>
    <w:rsid w:val="001A760E"/>
    <w:rsid w:val="001B0C6E"/>
    <w:rsid w:val="001B2940"/>
    <w:rsid w:val="001B44A8"/>
    <w:rsid w:val="001B4E9C"/>
    <w:rsid w:val="001B57FF"/>
    <w:rsid w:val="001B5990"/>
    <w:rsid w:val="001B622E"/>
    <w:rsid w:val="001B6D44"/>
    <w:rsid w:val="001C1C35"/>
    <w:rsid w:val="001D4693"/>
    <w:rsid w:val="001D4BC6"/>
    <w:rsid w:val="001D6058"/>
    <w:rsid w:val="001D61AB"/>
    <w:rsid w:val="001D6BE8"/>
    <w:rsid w:val="001E0723"/>
    <w:rsid w:val="001E1858"/>
    <w:rsid w:val="001E25C6"/>
    <w:rsid w:val="001E3E0D"/>
    <w:rsid w:val="001F0412"/>
    <w:rsid w:val="002019A5"/>
    <w:rsid w:val="002025D1"/>
    <w:rsid w:val="00205EAD"/>
    <w:rsid w:val="00214AA3"/>
    <w:rsid w:val="00217244"/>
    <w:rsid w:val="00220770"/>
    <w:rsid w:val="00220947"/>
    <w:rsid w:val="002214B2"/>
    <w:rsid w:val="002224DC"/>
    <w:rsid w:val="00224A4A"/>
    <w:rsid w:val="002265BA"/>
    <w:rsid w:val="002268B0"/>
    <w:rsid w:val="0023036E"/>
    <w:rsid w:val="002323E8"/>
    <w:rsid w:val="00235948"/>
    <w:rsid w:val="00235FE6"/>
    <w:rsid w:val="00236A1C"/>
    <w:rsid w:val="00236D0C"/>
    <w:rsid w:val="00241D61"/>
    <w:rsid w:val="00242AAF"/>
    <w:rsid w:val="002437C3"/>
    <w:rsid w:val="00243B89"/>
    <w:rsid w:val="00246053"/>
    <w:rsid w:val="002467D9"/>
    <w:rsid w:val="00250225"/>
    <w:rsid w:val="0025160C"/>
    <w:rsid w:val="00251CA1"/>
    <w:rsid w:val="002524AF"/>
    <w:rsid w:val="00254455"/>
    <w:rsid w:val="0025567C"/>
    <w:rsid w:val="00256AEE"/>
    <w:rsid w:val="002609FF"/>
    <w:rsid w:val="002610AF"/>
    <w:rsid w:val="0026110A"/>
    <w:rsid w:val="002616C7"/>
    <w:rsid w:val="002642AD"/>
    <w:rsid w:val="00266C4B"/>
    <w:rsid w:val="0026738A"/>
    <w:rsid w:val="00270E89"/>
    <w:rsid w:val="00275EE2"/>
    <w:rsid w:val="00277BA9"/>
    <w:rsid w:val="0028025E"/>
    <w:rsid w:val="00280844"/>
    <w:rsid w:val="00284227"/>
    <w:rsid w:val="00286B9F"/>
    <w:rsid w:val="00287DD6"/>
    <w:rsid w:val="00293463"/>
    <w:rsid w:val="00293C57"/>
    <w:rsid w:val="00297347"/>
    <w:rsid w:val="00297B66"/>
    <w:rsid w:val="002A1752"/>
    <w:rsid w:val="002A2286"/>
    <w:rsid w:val="002A3BBC"/>
    <w:rsid w:val="002A4B79"/>
    <w:rsid w:val="002A660F"/>
    <w:rsid w:val="002A6B12"/>
    <w:rsid w:val="002B14FF"/>
    <w:rsid w:val="002B4D73"/>
    <w:rsid w:val="002C4485"/>
    <w:rsid w:val="002C7842"/>
    <w:rsid w:val="002D29B3"/>
    <w:rsid w:val="002D3036"/>
    <w:rsid w:val="002D40D2"/>
    <w:rsid w:val="002F3322"/>
    <w:rsid w:val="002F4F48"/>
    <w:rsid w:val="002F5976"/>
    <w:rsid w:val="00300A52"/>
    <w:rsid w:val="0030212D"/>
    <w:rsid w:val="003033EA"/>
    <w:rsid w:val="00303A00"/>
    <w:rsid w:val="00303F17"/>
    <w:rsid w:val="00307E78"/>
    <w:rsid w:val="003103C7"/>
    <w:rsid w:val="0031253A"/>
    <w:rsid w:val="00312C09"/>
    <w:rsid w:val="003160FC"/>
    <w:rsid w:val="00316947"/>
    <w:rsid w:val="0032185B"/>
    <w:rsid w:val="00331DE3"/>
    <w:rsid w:val="00334542"/>
    <w:rsid w:val="00337BDF"/>
    <w:rsid w:val="00345586"/>
    <w:rsid w:val="00350D20"/>
    <w:rsid w:val="00352C65"/>
    <w:rsid w:val="0035622D"/>
    <w:rsid w:val="003577C1"/>
    <w:rsid w:val="00357C05"/>
    <w:rsid w:val="00360DC6"/>
    <w:rsid w:val="00366064"/>
    <w:rsid w:val="003673E1"/>
    <w:rsid w:val="00367985"/>
    <w:rsid w:val="00367E59"/>
    <w:rsid w:val="003706E4"/>
    <w:rsid w:val="00372B32"/>
    <w:rsid w:val="00373B1B"/>
    <w:rsid w:val="00376338"/>
    <w:rsid w:val="00376EED"/>
    <w:rsid w:val="0038029C"/>
    <w:rsid w:val="00393275"/>
    <w:rsid w:val="00393ED1"/>
    <w:rsid w:val="003A1A08"/>
    <w:rsid w:val="003A2A8A"/>
    <w:rsid w:val="003A667D"/>
    <w:rsid w:val="003A70CA"/>
    <w:rsid w:val="003B0B0D"/>
    <w:rsid w:val="003B1C9F"/>
    <w:rsid w:val="003B4B76"/>
    <w:rsid w:val="003B6769"/>
    <w:rsid w:val="003B6772"/>
    <w:rsid w:val="003C1AAB"/>
    <w:rsid w:val="003C29DD"/>
    <w:rsid w:val="003C31AD"/>
    <w:rsid w:val="003D06D6"/>
    <w:rsid w:val="003D07FA"/>
    <w:rsid w:val="003D1B2E"/>
    <w:rsid w:val="003D1C95"/>
    <w:rsid w:val="003D2866"/>
    <w:rsid w:val="003D39EF"/>
    <w:rsid w:val="003D599C"/>
    <w:rsid w:val="003E1D56"/>
    <w:rsid w:val="003E2F0D"/>
    <w:rsid w:val="003E35A1"/>
    <w:rsid w:val="003E5152"/>
    <w:rsid w:val="003E748D"/>
    <w:rsid w:val="003F02AE"/>
    <w:rsid w:val="003F082A"/>
    <w:rsid w:val="003F3FC6"/>
    <w:rsid w:val="003F4E8D"/>
    <w:rsid w:val="003F5B0D"/>
    <w:rsid w:val="003F5B1F"/>
    <w:rsid w:val="003F5D4D"/>
    <w:rsid w:val="0040158E"/>
    <w:rsid w:val="00402B3D"/>
    <w:rsid w:val="00403961"/>
    <w:rsid w:val="00403C89"/>
    <w:rsid w:val="00405B4F"/>
    <w:rsid w:val="00405FFF"/>
    <w:rsid w:val="00406CB7"/>
    <w:rsid w:val="00410EC1"/>
    <w:rsid w:val="0041234B"/>
    <w:rsid w:val="00414B70"/>
    <w:rsid w:val="004221E2"/>
    <w:rsid w:val="00423CD2"/>
    <w:rsid w:val="00431D1A"/>
    <w:rsid w:val="0043269E"/>
    <w:rsid w:val="00433189"/>
    <w:rsid w:val="004343B9"/>
    <w:rsid w:val="004424BA"/>
    <w:rsid w:val="004436D0"/>
    <w:rsid w:val="00455EE4"/>
    <w:rsid w:val="00456185"/>
    <w:rsid w:val="0046422E"/>
    <w:rsid w:val="00465968"/>
    <w:rsid w:val="004711EF"/>
    <w:rsid w:val="00473E0D"/>
    <w:rsid w:val="004747CB"/>
    <w:rsid w:val="00475D2E"/>
    <w:rsid w:val="00483C99"/>
    <w:rsid w:val="004840B1"/>
    <w:rsid w:val="00484363"/>
    <w:rsid w:val="004844CC"/>
    <w:rsid w:val="0048503A"/>
    <w:rsid w:val="00486727"/>
    <w:rsid w:val="004907FB"/>
    <w:rsid w:val="00492D30"/>
    <w:rsid w:val="0049343A"/>
    <w:rsid w:val="004A2034"/>
    <w:rsid w:val="004A4139"/>
    <w:rsid w:val="004A5B5A"/>
    <w:rsid w:val="004A6922"/>
    <w:rsid w:val="004B0A09"/>
    <w:rsid w:val="004B57A2"/>
    <w:rsid w:val="004C209C"/>
    <w:rsid w:val="004C2A71"/>
    <w:rsid w:val="004C4A5C"/>
    <w:rsid w:val="004C4B8D"/>
    <w:rsid w:val="004C6B02"/>
    <w:rsid w:val="004C77D5"/>
    <w:rsid w:val="004C787F"/>
    <w:rsid w:val="004D0D8B"/>
    <w:rsid w:val="004D13B8"/>
    <w:rsid w:val="004D17D3"/>
    <w:rsid w:val="004D1FB9"/>
    <w:rsid w:val="004D575A"/>
    <w:rsid w:val="004E0ABD"/>
    <w:rsid w:val="004E2D54"/>
    <w:rsid w:val="004E3925"/>
    <w:rsid w:val="004E6853"/>
    <w:rsid w:val="004E7C69"/>
    <w:rsid w:val="004F4C80"/>
    <w:rsid w:val="004F5B0D"/>
    <w:rsid w:val="004F6B49"/>
    <w:rsid w:val="005009CE"/>
    <w:rsid w:val="00502176"/>
    <w:rsid w:val="005024E8"/>
    <w:rsid w:val="005077B2"/>
    <w:rsid w:val="00514D9A"/>
    <w:rsid w:val="005226AA"/>
    <w:rsid w:val="0052344D"/>
    <w:rsid w:val="00525EAC"/>
    <w:rsid w:val="00526CFA"/>
    <w:rsid w:val="0053041F"/>
    <w:rsid w:val="00532002"/>
    <w:rsid w:val="00533AF5"/>
    <w:rsid w:val="00537FFB"/>
    <w:rsid w:val="00542D9D"/>
    <w:rsid w:val="005464B9"/>
    <w:rsid w:val="00546AF6"/>
    <w:rsid w:val="00555FF0"/>
    <w:rsid w:val="005653E8"/>
    <w:rsid w:val="00565CC3"/>
    <w:rsid w:val="00570D91"/>
    <w:rsid w:val="00571C61"/>
    <w:rsid w:val="00575AFB"/>
    <w:rsid w:val="00582147"/>
    <w:rsid w:val="005836E4"/>
    <w:rsid w:val="00584AF6"/>
    <w:rsid w:val="005863A0"/>
    <w:rsid w:val="0058765A"/>
    <w:rsid w:val="00592F6C"/>
    <w:rsid w:val="00593018"/>
    <w:rsid w:val="005A4042"/>
    <w:rsid w:val="005B0533"/>
    <w:rsid w:val="005B0A95"/>
    <w:rsid w:val="005B0F89"/>
    <w:rsid w:val="005B1726"/>
    <w:rsid w:val="005B7729"/>
    <w:rsid w:val="005B7DB9"/>
    <w:rsid w:val="005C06AA"/>
    <w:rsid w:val="005C2533"/>
    <w:rsid w:val="005C5B1E"/>
    <w:rsid w:val="005D0FE3"/>
    <w:rsid w:val="005D2452"/>
    <w:rsid w:val="005D26BE"/>
    <w:rsid w:val="005D2DBA"/>
    <w:rsid w:val="005D479C"/>
    <w:rsid w:val="005E6728"/>
    <w:rsid w:val="005F1539"/>
    <w:rsid w:val="005F395D"/>
    <w:rsid w:val="00600A5D"/>
    <w:rsid w:val="00600BE9"/>
    <w:rsid w:val="00601B3D"/>
    <w:rsid w:val="00602788"/>
    <w:rsid w:val="00602DD4"/>
    <w:rsid w:val="00610BDA"/>
    <w:rsid w:val="00611B0F"/>
    <w:rsid w:val="006127FF"/>
    <w:rsid w:val="00612D26"/>
    <w:rsid w:val="00615E85"/>
    <w:rsid w:val="00617FF7"/>
    <w:rsid w:val="00624BD5"/>
    <w:rsid w:val="00626FA9"/>
    <w:rsid w:val="00627519"/>
    <w:rsid w:val="00627CA2"/>
    <w:rsid w:val="006328B6"/>
    <w:rsid w:val="006345C8"/>
    <w:rsid w:val="00647909"/>
    <w:rsid w:val="006510CD"/>
    <w:rsid w:val="00651848"/>
    <w:rsid w:val="006554A6"/>
    <w:rsid w:val="006571C6"/>
    <w:rsid w:val="00660512"/>
    <w:rsid w:val="0066286A"/>
    <w:rsid w:val="00662956"/>
    <w:rsid w:val="00663BFF"/>
    <w:rsid w:val="0066405E"/>
    <w:rsid w:val="006648ED"/>
    <w:rsid w:val="0066496C"/>
    <w:rsid w:val="00667311"/>
    <w:rsid w:val="0067126D"/>
    <w:rsid w:val="0067242D"/>
    <w:rsid w:val="00674931"/>
    <w:rsid w:val="00676ECC"/>
    <w:rsid w:val="00684635"/>
    <w:rsid w:val="00687401"/>
    <w:rsid w:val="00690E17"/>
    <w:rsid w:val="00692A1D"/>
    <w:rsid w:val="0069702B"/>
    <w:rsid w:val="006A1AF3"/>
    <w:rsid w:val="006A3706"/>
    <w:rsid w:val="006A4EFE"/>
    <w:rsid w:val="006A78E6"/>
    <w:rsid w:val="006B1F2F"/>
    <w:rsid w:val="006C0123"/>
    <w:rsid w:val="006C13BA"/>
    <w:rsid w:val="006C3875"/>
    <w:rsid w:val="006C5138"/>
    <w:rsid w:val="006C75D4"/>
    <w:rsid w:val="006D47DE"/>
    <w:rsid w:val="006D5210"/>
    <w:rsid w:val="006E1017"/>
    <w:rsid w:val="006E18D9"/>
    <w:rsid w:val="006E1D9A"/>
    <w:rsid w:val="006E3AB7"/>
    <w:rsid w:val="006E57B7"/>
    <w:rsid w:val="006E7514"/>
    <w:rsid w:val="006F4941"/>
    <w:rsid w:val="006F4E04"/>
    <w:rsid w:val="006F68E7"/>
    <w:rsid w:val="006F6BD2"/>
    <w:rsid w:val="006F6C7E"/>
    <w:rsid w:val="00702B70"/>
    <w:rsid w:val="00710075"/>
    <w:rsid w:val="00710161"/>
    <w:rsid w:val="007112DB"/>
    <w:rsid w:val="0071233A"/>
    <w:rsid w:val="00712D4D"/>
    <w:rsid w:val="00713562"/>
    <w:rsid w:val="00716E9A"/>
    <w:rsid w:val="00721D74"/>
    <w:rsid w:val="00724714"/>
    <w:rsid w:val="00727059"/>
    <w:rsid w:val="0073000E"/>
    <w:rsid w:val="0073004E"/>
    <w:rsid w:val="007323BD"/>
    <w:rsid w:val="0073332B"/>
    <w:rsid w:val="0073570A"/>
    <w:rsid w:val="00735C3F"/>
    <w:rsid w:val="00735E44"/>
    <w:rsid w:val="0073647F"/>
    <w:rsid w:val="00736842"/>
    <w:rsid w:val="00747F6B"/>
    <w:rsid w:val="00750C35"/>
    <w:rsid w:val="00750FDE"/>
    <w:rsid w:val="007519F6"/>
    <w:rsid w:val="007561FB"/>
    <w:rsid w:val="007564E4"/>
    <w:rsid w:val="00756B9F"/>
    <w:rsid w:val="0076277E"/>
    <w:rsid w:val="00764745"/>
    <w:rsid w:val="0076577C"/>
    <w:rsid w:val="00765987"/>
    <w:rsid w:val="0076693F"/>
    <w:rsid w:val="007675B3"/>
    <w:rsid w:val="007677FE"/>
    <w:rsid w:val="007679DD"/>
    <w:rsid w:val="00767DB4"/>
    <w:rsid w:val="00770A3B"/>
    <w:rsid w:val="0077340D"/>
    <w:rsid w:val="0077570E"/>
    <w:rsid w:val="00776480"/>
    <w:rsid w:val="00776DCF"/>
    <w:rsid w:val="007804D4"/>
    <w:rsid w:val="00783E3A"/>
    <w:rsid w:val="00784F39"/>
    <w:rsid w:val="00785774"/>
    <w:rsid w:val="00790D95"/>
    <w:rsid w:val="007918DC"/>
    <w:rsid w:val="00791C12"/>
    <w:rsid w:val="007927F8"/>
    <w:rsid w:val="00794345"/>
    <w:rsid w:val="00797AAB"/>
    <w:rsid w:val="00797DF9"/>
    <w:rsid w:val="007A01B8"/>
    <w:rsid w:val="007A5C1E"/>
    <w:rsid w:val="007A7205"/>
    <w:rsid w:val="007B2B13"/>
    <w:rsid w:val="007B5BCC"/>
    <w:rsid w:val="007C4E62"/>
    <w:rsid w:val="007C562F"/>
    <w:rsid w:val="007C663E"/>
    <w:rsid w:val="007C7AC3"/>
    <w:rsid w:val="007D0A73"/>
    <w:rsid w:val="007D48A2"/>
    <w:rsid w:val="007D4C9D"/>
    <w:rsid w:val="007D5210"/>
    <w:rsid w:val="007D62E2"/>
    <w:rsid w:val="007E17CF"/>
    <w:rsid w:val="007E43CA"/>
    <w:rsid w:val="007F1677"/>
    <w:rsid w:val="007F2358"/>
    <w:rsid w:val="007F2577"/>
    <w:rsid w:val="007F25B4"/>
    <w:rsid w:val="007F2F93"/>
    <w:rsid w:val="007F4B6B"/>
    <w:rsid w:val="008003D1"/>
    <w:rsid w:val="008004DE"/>
    <w:rsid w:val="00801355"/>
    <w:rsid w:val="00805512"/>
    <w:rsid w:val="0080767D"/>
    <w:rsid w:val="00812450"/>
    <w:rsid w:val="00813EDE"/>
    <w:rsid w:val="00815C79"/>
    <w:rsid w:val="00816ED0"/>
    <w:rsid w:val="008236BA"/>
    <w:rsid w:val="0082394D"/>
    <w:rsid w:val="00824A1A"/>
    <w:rsid w:val="00825132"/>
    <w:rsid w:val="00825D4A"/>
    <w:rsid w:val="00826BEB"/>
    <w:rsid w:val="00827ABB"/>
    <w:rsid w:val="00834809"/>
    <w:rsid w:val="008354DF"/>
    <w:rsid w:val="00836EF9"/>
    <w:rsid w:val="00840BE2"/>
    <w:rsid w:val="00842FEB"/>
    <w:rsid w:val="00844786"/>
    <w:rsid w:val="00857156"/>
    <w:rsid w:val="00860A93"/>
    <w:rsid w:val="0086282A"/>
    <w:rsid w:val="00862FD0"/>
    <w:rsid w:val="00863CCC"/>
    <w:rsid w:val="00863E3E"/>
    <w:rsid w:val="00864CBF"/>
    <w:rsid w:val="00865943"/>
    <w:rsid w:val="0087691C"/>
    <w:rsid w:val="00877579"/>
    <w:rsid w:val="008829DF"/>
    <w:rsid w:val="00882B04"/>
    <w:rsid w:val="00884442"/>
    <w:rsid w:val="008848C8"/>
    <w:rsid w:val="00887811"/>
    <w:rsid w:val="00890A4F"/>
    <w:rsid w:val="00892991"/>
    <w:rsid w:val="00896E4C"/>
    <w:rsid w:val="00897F57"/>
    <w:rsid w:val="008A0AF3"/>
    <w:rsid w:val="008A0C6F"/>
    <w:rsid w:val="008A2A92"/>
    <w:rsid w:val="008A767E"/>
    <w:rsid w:val="008B4FD0"/>
    <w:rsid w:val="008B5A9E"/>
    <w:rsid w:val="008B6E4A"/>
    <w:rsid w:val="008C05CA"/>
    <w:rsid w:val="008C3973"/>
    <w:rsid w:val="008C7FBC"/>
    <w:rsid w:val="008D0810"/>
    <w:rsid w:val="008D799D"/>
    <w:rsid w:val="008E0A6F"/>
    <w:rsid w:val="008E25A7"/>
    <w:rsid w:val="008E2A1D"/>
    <w:rsid w:val="008E2E82"/>
    <w:rsid w:val="008F4D59"/>
    <w:rsid w:val="008F70AD"/>
    <w:rsid w:val="009015DA"/>
    <w:rsid w:val="00902BA8"/>
    <w:rsid w:val="009033BA"/>
    <w:rsid w:val="0090478C"/>
    <w:rsid w:val="00907BB3"/>
    <w:rsid w:val="00910745"/>
    <w:rsid w:val="009130F9"/>
    <w:rsid w:val="00916AB3"/>
    <w:rsid w:val="00921D1D"/>
    <w:rsid w:val="009234D8"/>
    <w:rsid w:val="009261D6"/>
    <w:rsid w:val="009343D4"/>
    <w:rsid w:val="009427C2"/>
    <w:rsid w:val="0094283E"/>
    <w:rsid w:val="00943107"/>
    <w:rsid w:val="00944AA7"/>
    <w:rsid w:val="00945AC8"/>
    <w:rsid w:val="009460B5"/>
    <w:rsid w:val="00947390"/>
    <w:rsid w:val="00950711"/>
    <w:rsid w:val="00951E47"/>
    <w:rsid w:val="00953BE4"/>
    <w:rsid w:val="009553CD"/>
    <w:rsid w:val="00955B0D"/>
    <w:rsid w:val="00955E53"/>
    <w:rsid w:val="009605F8"/>
    <w:rsid w:val="00960725"/>
    <w:rsid w:val="0096726B"/>
    <w:rsid w:val="009720A7"/>
    <w:rsid w:val="00972D0E"/>
    <w:rsid w:val="0097340A"/>
    <w:rsid w:val="00980827"/>
    <w:rsid w:val="0098364A"/>
    <w:rsid w:val="009868D0"/>
    <w:rsid w:val="009902CE"/>
    <w:rsid w:val="009924E3"/>
    <w:rsid w:val="00992872"/>
    <w:rsid w:val="00993DAF"/>
    <w:rsid w:val="009963C8"/>
    <w:rsid w:val="009A0358"/>
    <w:rsid w:val="009A03DC"/>
    <w:rsid w:val="009A0DB4"/>
    <w:rsid w:val="009A1E98"/>
    <w:rsid w:val="009A7E1A"/>
    <w:rsid w:val="009B11D3"/>
    <w:rsid w:val="009B2F66"/>
    <w:rsid w:val="009B3DE1"/>
    <w:rsid w:val="009C0BBA"/>
    <w:rsid w:val="009C424A"/>
    <w:rsid w:val="009C52D2"/>
    <w:rsid w:val="009E0B19"/>
    <w:rsid w:val="009E2021"/>
    <w:rsid w:val="009E2898"/>
    <w:rsid w:val="009E2E5E"/>
    <w:rsid w:val="009E3311"/>
    <w:rsid w:val="009E43A2"/>
    <w:rsid w:val="009E6E9F"/>
    <w:rsid w:val="009E712D"/>
    <w:rsid w:val="009F10F0"/>
    <w:rsid w:val="009F2AF2"/>
    <w:rsid w:val="009F4502"/>
    <w:rsid w:val="009F4E1B"/>
    <w:rsid w:val="009F54FA"/>
    <w:rsid w:val="009F6EEF"/>
    <w:rsid w:val="00A01F15"/>
    <w:rsid w:val="00A0404E"/>
    <w:rsid w:val="00A055B3"/>
    <w:rsid w:val="00A05C16"/>
    <w:rsid w:val="00A10FAE"/>
    <w:rsid w:val="00A14B17"/>
    <w:rsid w:val="00A161D7"/>
    <w:rsid w:val="00A21F6D"/>
    <w:rsid w:val="00A260B3"/>
    <w:rsid w:val="00A27E2A"/>
    <w:rsid w:val="00A30868"/>
    <w:rsid w:val="00A30CBC"/>
    <w:rsid w:val="00A31A45"/>
    <w:rsid w:val="00A32452"/>
    <w:rsid w:val="00A327EA"/>
    <w:rsid w:val="00A356D5"/>
    <w:rsid w:val="00A36D4B"/>
    <w:rsid w:val="00A43642"/>
    <w:rsid w:val="00A44E9D"/>
    <w:rsid w:val="00A53AAA"/>
    <w:rsid w:val="00A577AC"/>
    <w:rsid w:val="00A63D1B"/>
    <w:rsid w:val="00A65BC9"/>
    <w:rsid w:val="00A6735C"/>
    <w:rsid w:val="00A67F7C"/>
    <w:rsid w:val="00A71F6C"/>
    <w:rsid w:val="00A839A1"/>
    <w:rsid w:val="00A84947"/>
    <w:rsid w:val="00A86CE8"/>
    <w:rsid w:val="00A87B95"/>
    <w:rsid w:val="00A923A6"/>
    <w:rsid w:val="00A94B9C"/>
    <w:rsid w:val="00A96B4F"/>
    <w:rsid w:val="00AA0EF6"/>
    <w:rsid w:val="00AA2360"/>
    <w:rsid w:val="00AA33E6"/>
    <w:rsid w:val="00AA3A8F"/>
    <w:rsid w:val="00AA3AC9"/>
    <w:rsid w:val="00AA6F1A"/>
    <w:rsid w:val="00AB2969"/>
    <w:rsid w:val="00AB2E77"/>
    <w:rsid w:val="00AB3E4B"/>
    <w:rsid w:val="00AB474B"/>
    <w:rsid w:val="00AB6ADF"/>
    <w:rsid w:val="00AB7E9E"/>
    <w:rsid w:val="00AC2DAB"/>
    <w:rsid w:val="00AC5F68"/>
    <w:rsid w:val="00AC73D4"/>
    <w:rsid w:val="00AC785A"/>
    <w:rsid w:val="00AC79AC"/>
    <w:rsid w:val="00AD25E4"/>
    <w:rsid w:val="00AD3931"/>
    <w:rsid w:val="00AD3BA8"/>
    <w:rsid w:val="00AD475F"/>
    <w:rsid w:val="00AD6A31"/>
    <w:rsid w:val="00AD7491"/>
    <w:rsid w:val="00AD7EBC"/>
    <w:rsid w:val="00AE447D"/>
    <w:rsid w:val="00AE4D3F"/>
    <w:rsid w:val="00AE7C14"/>
    <w:rsid w:val="00AF00B2"/>
    <w:rsid w:val="00AF04F2"/>
    <w:rsid w:val="00AF3A9C"/>
    <w:rsid w:val="00AF4312"/>
    <w:rsid w:val="00AF6339"/>
    <w:rsid w:val="00AF6749"/>
    <w:rsid w:val="00AF6D76"/>
    <w:rsid w:val="00AF7334"/>
    <w:rsid w:val="00B03A17"/>
    <w:rsid w:val="00B03E23"/>
    <w:rsid w:val="00B043B3"/>
    <w:rsid w:val="00B0581D"/>
    <w:rsid w:val="00B06601"/>
    <w:rsid w:val="00B07AA9"/>
    <w:rsid w:val="00B1728D"/>
    <w:rsid w:val="00B23359"/>
    <w:rsid w:val="00B23F46"/>
    <w:rsid w:val="00B2456B"/>
    <w:rsid w:val="00B24B03"/>
    <w:rsid w:val="00B268F1"/>
    <w:rsid w:val="00B26E56"/>
    <w:rsid w:val="00B273A5"/>
    <w:rsid w:val="00B324F3"/>
    <w:rsid w:val="00B33993"/>
    <w:rsid w:val="00B35ABB"/>
    <w:rsid w:val="00B50593"/>
    <w:rsid w:val="00B5531D"/>
    <w:rsid w:val="00B624DA"/>
    <w:rsid w:val="00B6344C"/>
    <w:rsid w:val="00B63AB5"/>
    <w:rsid w:val="00B65212"/>
    <w:rsid w:val="00B723D0"/>
    <w:rsid w:val="00B72F7D"/>
    <w:rsid w:val="00B745D1"/>
    <w:rsid w:val="00B7599E"/>
    <w:rsid w:val="00B81600"/>
    <w:rsid w:val="00B85C8E"/>
    <w:rsid w:val="00B86E33"/>
    <w:rsid w:val="00B961E6"/>
    <w:rsid w:val="00B9690F"/>
    <w:rsid w:val="00B97194"/>
    <w:rsid w:val="00BA198A"/>
    <w:rsid w:val="00BA216D"/>
    <w:rsid w:val="00BA49F8"/>
    <w:rsid w:val="00BA500E"/>
    <w:rsid w:val="00BA5337"/>
    <w:rsid w:val="00BA6ABE"/>
    <w:rsid w:val="00BB113D"/>
    <w:rsid w:val="00BB17BD"/>
    <w:rsid w:val="00BB35A4"/>
    <w:rsid w:val="00BB4131"/>
    <w:rsid w:val="00BB693B"/>
    <w:rsid w:val="00BC0260"/>
    <w:rsid w:val="00BC037F"/>
    <w:rsid w:val="00BC1A19"/>
    <w:rsid w:val="00BC325E"/>
    <w:rsid w:val="00BC345B"/>
    <w:rsid w:val="00BC3F9A"/>
    <w:rsid w:val="00BC436B"/>
    <w:rsid w:val="00BC5A1B"/>
    <w:rsid w:val="00BC73EE"/>
    <w:rsid w:val="00BC7726"/>
    <w:rsid w:val="00BC775A"/>
    <w:rsid w:val="00BD0E46"/>
    <w:rsid w:val="00BD2132"/>
    <w:rsid w:val="00BD3277"/>
    <w:rsid w:val="00BD54E2"/>
    <w:rsid w:val="00BD5C23"/>
    <w:rsid w:val="00BD6749"/>
    <w:rsid w:val="00BD7E63"/>
    <w:rsid w:val="00BE2402"/>
    <w:rsid w:val="00BE268D"/>
    <w:rsid w:val="00BE35EF"/>
    <w:rsid w:val="00BE49F7"/>
    <w:rsid w:val="00BE4F41"/>
    <w:rsid w:val="00BE5808"/>
    <w:rsid w:val="00BF21D5"/>
    <w:rsid w:val="00BF399C"/>
    <w:rsid w:val="00BF753B"/>
    <w:rsid w:val="00C0127B"/>
    <w:rsid w:val="00C07B7E"/>
    <w:rsid w:val="00C10678"/>
    <w:rsid w:val="00C12C36"/>
    <w:rsid w:val="00C16B41"/>
    <w:rsid w:val="00C324ED"/>
    <w:rsid w:val="00C32BA6"/>
    <w:rsid w:val="00C3341F"/>
    <w:rsid w:val="00C33D91"/>
    <w:rsid w:val="00C36517"/>
    <w:rsid w:val="00C40794"/>
    <w:rsid w:val="00C46D2B"/>
    <w:rsid w:val="00C53D67"/>
    <w:rsid w:val="00C54E13"/>
    <w:rsid w:val="00C55587"/>
    <w:rsid w:val="00C56F21"/>
    <w:rsid w:val="00C6015B"/>
    <w:rsid w:val="00C62EAF"/>
    <w:rsid w:val="00C66564"/>
    <w:rsid w:val="00C66F24"/>
    <w:rsid w:val="00C66F5C"/>
    <w:rsid w:val="00C67184"/>
    <w:rsid w:val="00C733AE"/>
    <w:rsid w:val="00C7355B"/>
    <w:rsid w:val="00C77D3E"/>
    <w:rsid w:val="00C807FB"/>
    <w:rsid w:val="00C81325"/>
    <w:rsid w:val="00C84020"/>
    <w:rsid w:val="00C85C81"/>
    <w:rsid w:val="00C85E8F"/>
    <w:rsid w:val="00C861EB"/>
    <w:rsid w:val="00C9197F"/>
    <w:rsid w:val="00C92964"/>
    <w:rsid w:val="00C965F2"/>
    <w:rsid w:val="00C968A1"/>
    <w:rsid w:val="00CA2FAD"/>
    <w:rsid w:val="00CA515A"/>
    <w:rsid w:val="00CB0200"/>
    <w:rsid w:val="00CB195B"/>
    <w:rsid w:val="00CB2988"/>
    <w:rsid w:val="00CB4349"/>
    <w:rsid w:val="00CC1EF8"/>
    <w:rsid w:val="00CC3277"/>
    <w:rsid w:val="00CC7A17"/>
    <w:rsid w:val="00CC7BDC"/>
    <w:rsid w:val="00CD17EB"/>
    <w:rsid w:val="00CD2B6F"/>
    <w:rsid w:val="00CD3BB3"/>
    <w:rsid w:val="00CD606E"/>
    <w:rsid w:val="00CD68B9"/>
    <w:rsid w:val="00CD75BC"/>
    <w:rsid w:val="00CE33E0"/>
    <w:rsid w:val="00CF2878"/>
    <w:rsid w:val="00CF468F"/>
    <w:rsid w:val="00CF5591"/>
    <w:rsid w:val="00D000DE"/>
    <w:rsid w:val="00D017FC"/>
    <w:rsid w:val="00D021A7"/>
    <w:rsid w:val="00D11531"/>
    <w:rsid w:val="00D11FD0"/>
    <w:rsid w:val="00D1201B"/>
    <w:rsid w:val="00D14317"/>
    <w:rsid w:val="00D14BA0"/>
    <w:rsid w:val="00D16BD0"/>
    <w:rsid w:val="00D17042"/>
    <w:rsid w:val="00D225A7"/>
    <w:rsid w:val="00D241AF"/>
    <w:rsid w:val="00D24C4F"/>
    <w:rsid w:val="00D27E88"/>
    <w:rsid w:val="00D3047A"/>
    <w:rsid w:val="00D32EE4"/>
    <w:rsid w:val="00D337F7"/>
    <w:rsid w:val="00D34C75"/>
    <w:rsid w:val="00D367B8"/>
    <w:rsid w:val="00D37997"/>
    <w:rsid w:val="00D37CE6"/>
    <w:rsid w:val="00D40E63"/>
    <w:rsid w:val="00D41771"/>
    <w:rsid w:val="00D47C43"/>
    <w:rsid w:val="00D531AA"/>
    <w:rsid w:val="00D557D3"/>
    <w:rsid w:val="00D6022D"/>
    <w:rsid w:val="00D612D7"/>
    <w:rsid w:val="00D62B63"/>
    <w:rsid w:val="00D6434B"/>
    <w:rsid w:val="00D65981"/>
    <w:rsid w:val="00D67560"/>
    <w:rsid w:val="00D73D69"/>
    <w:rsid w:val="00D74033"/>
    <w:rsid w:val="00D74E0D"/>
    <w:rsid w:val="00D76C59"/>
    <w:rsid w:val="00D856E5"/>
    <w:rsid w:val="00D85B2E"/>
    <w:rsid w:val="00D917B6"/>
    <w:rsid w:val="00DA1526"/>
    <w:rsid w:val="00DA1900"/>
    <w:rsid w:val="00DA2337"/>
    <w:rsid w:val="00DA51C8"/>
    <w:rsid w:val="00DA6189"/>
    <w:rsid w:val="00DA7A29"/>
    <w:rsid w:val="00DA7DBE"/>
    <w:rsid w:val="00DB0D44"/>
    <w:rsid w:val="00DB0F91"/>
    <w:rsid w:val="00DB14F4"/>
    <w:rsid w:val="00DB1AD8"/>
    <w:rsid w:val="00DB2818"/>
    <w:rsid w:val="00DB5079"/>
    <w:rsid w:val="00DB6523"/>
    <w:rsid w:val="00DC0671"/>
    <w:rsid w:val="00DC1157"/>
    <w:rsid w:val="00DC208A"/>
    <w:rsid w:val="00DC28A3"/>
    <w:rsid w:val="00DC3FD4"/>
    <w:rsid w:val="00DC6F99"/>
    <w:rsid w:val="00DC7198"/>
    <w:rsid w:val="00DC7B4E"/>
    <w:rsid w:val="00DD0847"/>
    <w:rsid w:val="00DD1F7E"/>
    <w:rsid w:val="00DD454F"/>
    <w:rsid w:val="00DD5668"/>
    <w:rsid w:val="00DD7611"/>
    <w:rsid w:val="00DE083E"/>
    <w:rsid w:val="00DE3653"/>
    <w:rsid w:val="00DE3812"/>
    <w:rsid w:val="00DE5349"/>
    <w:rsid w:val="00DE5B9A"/>
    <w:rsid w:val="00DE7A7F"/>
    <w:rsid w:val="00DF0A09"/>
    <w:rsid w:val="00DF393A"/>
    <w:rsid w:val="00DF4B67"/>
    <w:rsid w:val="00E019CB"/>
    <w:rsid w:val="00E10C73"/>
    <w:rsid w:val="00E14C70"/>
    <w:rsid w:val="00E157FA"/>
    <w:rsid w:val="00E17D45"/>
    <w:rsid w:val="00E206A4"/>
    <w:rsid w:val="00E27636"/>
    <w:rsid w:val="00E30C6A"/>
    <w:rsid w:val="00E31C46"/>
    <w:rsid w:val="00E31C6D"/>
    <w:rsid w:val="00E33EF5"/>
    <w:rsid w:val="00E35751"/>
    <w:rsid w:val="00E35977"/>
    <w:rsid w:val="00E3784C"/>
    <w:rsid w:val="00E429C4"/>
    <w:rsid w:val="00E435AB"/>
    <w:rsid w:val="00E44181"/>
    <w:rsid w:val="00E45D1B"/>
    <w:rsid w:val="00E46163"/>
    <w:rsid w:val="00E559CB"/>
    <w:rsid w:val="00E56131"/>
    <w:rsid w:val="00E563F7"/>
    <w:rsid w:val="00E60404"/>
    <w:rsid w:val="00E6055D"/>
    <w:rsid w:val="00E728A4"/>
    <w:rsid w:val="00E73485"/>
    <w:rsid w:val="00E73C34"/>
    <w:rsid w:val="00E7727A"/>
    <w:rsid w:val="00E77C13"/>
    <w:rsid w:val="00E810AD"/>
    <w:rsid w:val="00E816EA"/>
    <w:rsid w:val="00E83594"/>
    <w:rsid w:val="00E87601"/>
    <w:rsid w:val="00E90458"/>
    <w:rsid w:val="00E91797"/>
    <w:rsid w:val="00E92E04"/>
    <w:rsid w:val="00E93B4D"/>
    <w:rsid w:val="00E94229"/>
    <w:rsid w:val="00E95190"/>
    <w:rsid w:val="00EA1262"/>
    <w:rsid w:val="00EA1C78"/>
    <w:rsid w:val="00EA2495"/>
    <w:rsid w:val="00EA53D7"/>
    <w:rsid w:val="00EA5D1E"/>
    <w:rsid w:val="00EA5FF0"/>
    <w:rsid w:val="00EB36BC"/>
    <w:rsid w:val="00EB583B"/>
    <w:rsid w:val="00EB7261"/>
    <w:rsid w:val="00EC0433"/>
    <w:rsid w:val="00EC0A93"/>
    <w:rsid w:val="00EC0D4C"/>
    <w:rsid w:val="00EC6815"/>
    <w:rsid w:val="00EC75F2"/>
    <w:rsid w:val="00ED495E"/>
    <w:rsid w:val="00ED7F9A"/>
    <w:rsid w:val="00EE696C"/>
    <w:rsid w:val="00EE7A86"/>
    <w:rsid w:val="00EF49D4"/>
    <w:rsid w:val="00EF4D2C"/>
    <w:rsid w:val="00F03B14"/>
    <w:rsid w:val="00F074FE"/>
    <w:rsid w:val="00F07C93"/>
    <w:rsid w:val="00F10BA3"/>
    <w:rsid w:val="00F14277"/>
    <w:rsid w:val="00F22067"/>
    <w:rsid w:val="00F22955"/>
    <w:rsid w:val="00F23483"/>
    <w:rsid w:val="00F248D9"/>
    <w:rsid w:val="00F25463"/>
    <w:rsid w:val="00F32B5E"/>
    <w:rsid w:val="00F33189"/>
    <w:rsid w:val="00F34091"/>
    <w:rsid w:val="00F36466"/>
    <w:rsid w:val="00F43112"/>
    <w:rsid w:val="00F43806"/>
    <w:rsid w:val="00F439BF"/>
    <w:rsid w:val="00F4452A"/>
    <w:rsid w:val="00F470E1"/>
    <w:rsid w:val="00F47C31"/>
    <w:rsid w:val="00F5571F"/>
    <w:rsid w:val="00F55FD0"/>
    <w:rsid w:val="00F56837"/>
    <w:rsid w:val="00F6074C"/>
    <w:rsid w:val="00F61022"/>
    <w:rsid w:val="00F61EDC"/>
    <w:rsid w:val="00F622C6"/>
    <w:rsid w:val="00F66568"/>
    <w:rsid w:val="00F76542"/>
    <w:rsid w:val="00F77802"/>
    <w:rsid w:val="00F83E4B"/>
    <w:rsid w:val="00F94812"/>
    <w:rsid w:val="00F96D23"/>
    <w:rsid w:val="00F97748"/>
    <w:rsid w:val="00FA2E1A"/>
    <w:rsid w:val="00FA3987"/>
    <w:rsid w:val="00FA4F22"/>
    <w:rsid w:val="00FA7F87"/>
    <w:rsid w:val="00FB211A"/>
    <w:rsid w:val="00FB2D29"/>
    <w:rsid w:val="00FB4DE8"/>
    <w:rsid w:val="00FB6C7B"/>
    <w:rsid w:val="00FC1C20"/>
    <w:rsid w:val="00FC2ADD"/>
    <w:rsid w:val="00FD19C3"/>
    <w:rsid w:val="00FD2149"/>
    <w:rsid w:val="00FD3BA7"/>
    <w:rsid w:val="00FD69A6"/>
    <w:rsid w:val="00FF0ACC"/>
    <w:rsid w:val="00FF1E85"/>
    <w:rsid w:val="00FF20B2"/>
    <w:rsid w:val="00FF36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336D544"/>
  <w15:chartTrackingRefBased/>
  <w15:docId w15:val="{9C64EBF5-5BA8-4FA1-97B1-B81C84D4C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981"/>
    <w:pPr>
      <w:widowControl w:val="0"/>
      <w:snapToGrid w:val="0"/>
      <w:spacing w:line="360" w:lineRule="atLeast"/>
      <w:jc w:val="both"/>
    </w:pPr>
    <w:rPr>
      <w:rFonts w:ascii="標楷體" w:eastAsia="標楷體" w:hAnsi="Times New Roman" w:cs="標楷體"/>
      <w:spacing w:val="10"/>
      <w:kern w:val="2"/>
      <w:sz w:val="24"/>
      <w:szCs w:val="24"/>
    </w:rPr>
  </w:style>
  <w:style w:type="paragraph" w:styleId="1">
    <w:name w:val="heading 1"/>
    <w:basedOn w:val="a"/>
    <w:next w:val="a"/>
    <w:link w:val="10"/>
    <w:uiPriority w:val="99"/>
    <w:qFormat/>
    <w:pPr>
      <w:spacing w:after="120"/>
      <w:jc w:val="center"/>
      <w:outlineLvl w:val="0"/>
    </w:pPr>
    <w:rPr>
      <w:rFonts w:hAnsi="Arial"/>
      <w:b/>
      <w:bCs/>
      <w:kern w:val="52"/>
      <w:sz w:val="36"/>
      <w:szCs w:val="36"/>
    </w:rPr>
  </w:style>
  <w:style w:type="paragraph" w:styleId="2">
    <w:name w:val="heading 2"/>
    <w:basedOn w:val="a"/>
    <w:next w:val="a"/>
    <w:link w:val="20"/>
    <w:uiPriority w:val="99"/>
    <w:qFormat/>
    <w:pPr>
      <w:keepNext/>
      <w:spacing w:line="720" w:lineRule="auto"/>
      <w:outlineLvl w:val="1"/>
    </w:pPr>
    <w:rPr>
      <w:rFonts w:ascii="Arial" w:hAnsi="Arial" w:cs="Arial"/>
      <w:b/>
      <w:bCs/>
      <w:sz w:val="48"/>
      <w:szCs w:val="48"/>
    </w:rPr>
  </w:style>
  <w:style w:type="paragraph" w:styleId="3">
    <w:name w:val="heading 3"/>
    <w:basedOn w:val="a"/>
    <w:next w:val="a"/>
    <w:link w:val="30"/>
    <w:uiPriority w:val="99"/>
    <w:qFormat/>
    <w:pPr>
      <w:keepNext/>
      <w:spacing w:line="720" w:lineRule="auto"/>
      <w:outlineLvl w:val="2"/>
    </w:pPr>
    <w:rPr>
      <w:rFonts w:ascii="Arial" w:hAnsi="Arial" w:cs="Arial"/>
      <w:b/>
      <w:bCs/>
      <w:sz w:val="36"/>
      <w:szCs w:val="36"/>
    </w:rPr>
  </w:style>
  <w:style w:type="paragraph" w:styleId="4">
    <w:name w:val="heading 4"/>
    <w:basedOn w:val="a"/>
    <w:next w:val="a0"/>
    <w:link w:val="40"/>
    <w:uiPriority w:val="99"/>
    <w:qFormat/>
    <w:pPr>
      <w:keepNext/>
      <w:adjustRightInd w:val="0"/>
      <w:snapToGrid/>
      <w:spacing w:line="720" w:lineRule="atLeast"/>
      <w:jc w:val="left"/>
      <w:textAlignment w:val="baseline"/>
      <w:outlineLvl w:val="3"/>
    </w:pPr>
    <w:rPr>
      <w:rFonts w:ascii="Arial" w:eastAsia="新細明體" w:hAnsi="Arial" w:cs="Arial"/>
      <w:spacing w:val="0"/>
      <w:kern w:val="0"/>
      <w:sz w:val="36"/>
      <w:szCs w:val="36"/>
    </w:rPr>
  </w:style>
  <w:style w:type="paragraph" w:styleId="5">
    <w:name w:val="heading 5"/>
    <w:basedOn w:val="a"/>
    <w:next w:val="a0"/>
    <w:link w:val="50"/>
    <w:uiPriority w:val="99"/>
    <w:qFormat/>
    <w:pPr>
      <w:keepNext/>
      <w:adjustRightInd w:val="0"/>
      <w:snapToGrid/>
      <w:spacing w:line="720" w:lineRule="atLeast"/>
      <w:jc w:val="left"/>
      <w:textAlignment w:val="baseline"/>
      <w:outlineLvl w:val="4"/>
    </w:pPr>
    <w:rPr>
      <w:rFonts w:ascii="Arial" w:eastAsia="新細明體" w:hAnsi="Arial" w:cs="Arial"/>
      <w:b/>
      <w:bCs/>
      <w:spacing w:val="0"/>
      <w:kern w:val="0"/>
      <w:sz w:val="36"/>
      <w:szCs w:val="36"/>
    </w:rPr>
  </w:style>
  <w:style w:type="paragraph" w:styleId="6">
    <w:name w:val="heading 6"/>
    <w:basedOn w:val="a"/>
    <w:next w:val="a0"/>
    <w:link w:val="60"/>
    <w:uiPriority w:val="99"/>
    <w:qFormat/>
    <w:pPr>
      <w:keepNext/>
      <w:adjustRightInd w:val="0"/>
      <w:snapToGrid/>
      <w:spacing w:line="720" w:lineRule="atLeast"/>
      <w:jc w:val="left"/>
      <w:textAlignment w:val="baseline"/>
      <w:outlineLvl w:val="5"/>
    </w:pPr>
    <w:rPr>
      <w:rFonts w:ascii="Arial" w:eastAsia="新細明體" w:hAnsi="Arial" w:cs="Arial"/>
      <w:spacing w:val="0"/>
      <w:kern w:val="0"/>
      <w:sz w:val="36"/>
      <w:szCs w:val="36"/>
    </w:rPr>
  </w:style>
  <w:style w:type="paragraph" w:styleId="7">
    <w:name w:val="heading 7"/>
    <w:basedOn w:val="a"/>
    <w:next w:val="a0"/>
    <w:link w:val="70"/>
    <w:uiPriority w:val="99"/>
    <w:qFormat/>
    <w:pPr>
      <w:keepNext/>
      <w:adjustRightInd w:val="0"/>
      <w:snapToGrid/>
      <w:spacing w:line="720" w:lineRule="atLeast"/>
      <w:jc w:val="left"/>
      <w:textAlignment w:val="baseline"/>
      <w:outlineLvl w:val="6"/>
    </w:pPr>
    <w:rPr>
      <w:rFonts w:ascii="Arial" w:eastAsia="新細明體" w:hAnsi="Arial" w:cs="Arial"/>
      <w:b/>
      <w:bCs/>
      <w:spacing w:val="0"/>
      <w:kern w:val="0"/>
      <w:sz w:val="36"/>
      <w:szCs w:val="36"/>
    </w:rPr>
  </w:style>
  <w:style w:type="paragraph" w:styleId="8">
    <w:name w:val="heading 8"/>
    <w:basedOn w:val="a"/>
    <w:next w:val="a0"/>
    <w:link w:val="80"/>
    <w:uiPriority w:val="99"/>
    <w:qFormat/>
    <w:pPr>
      <w:keepNext/>
      <w:adjustRightInd w:val="0"/>
      <w:snapToGrid/>
      <w:spacing w:line="720" w:lineRule="atLeast"/>
      <w:jc w:val="left"/>
      <w:textAlignment w:val="baseline"/>
      <w:outlineLvl w:val="7"/>
    </w:pPr>
    <w:rPr>
      <w:rFonts w:ascii="Arial" w:eastAsia="新細明體" w:hAnsi="Arial" w:cs="Arial"/>
      <w:spacing w:val="0"/>
      <w:kern w:val="0"/>
      <w:sz w:val="36"/>
      <w:szCs w:val="36"/>
    </w:rPr>
  </w:style>
  <w:style w:type="paragraph" w:styleId="9">
    <w:name w:val="heading 9"/>
    <w:basedOn w:val="a"/>
    <w:next w:val="a0"/>
    <w:link w:val="90"/>
    <w:uiPriority w:val="99"/>
    <w:qFormat/>
    <w:pPr>
      <w:keepNext/>
      <w:adjustRightInd w:val="0"/>
      <w:snapToGrid/>
      <w:spacing w:line="720" w:lineRule="atLeast"/>
      <w:jc w:val="left"/>
      <w:textAlignment w:val="baseline"/>
      <w:outlineLvl w:val="8"/>
    </w:pPr>
    <w:rPr>
      <w:rFonts w:ascii="Arial" w:eastAsia="新細明體" w:hAnsi="Arial" w:cs="Arial"/>
      <w:spacing w:val="0"/>
      <w:kern w:val="0"/>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link w:val="1"/>
    <w:uiPriority w:val="9"/>
    <w:locked/>
    <w:rPr>
      <w:rFonts w:ascii="Cambria" w:eastAsia="新細明體" w:hAnsi="Cambria" w:cs="Times New Roman"/>
      <w:b/>
      <w:bCs/>
      <w:spacing w:val="10"/>
      <w:kern w:val="52"/>
      <w:sz w:val="52"/>
      <w:szCs w:val="52"/>
    </w:rPr>
  </w:style>
  <w:style w:type="character" w:customStyle="1" w:styleId="20">
    <w:name w:val="標題 2 字元"/>
    <w:link w:val="2"/>
    <w:uiPriority w:val="9"/>
    <w:semiHidden/>
    <w:locked/>
    <w:rPr>
      <w:rFonts w:ascii="Cambria" w:eastAsia="新細明體" w:hAnsi="Cambria" w:cs="Times New Roman"/>
      <w:b/>
      <w:bCs/>
      <w:spacing w:val="10"/>
      <w:sz w:val="48"/>
      <w:szCs w:val="48"/>
    </w:rPr>
  </w:style>
  <w:style w:type="character" w:customStyle="1" w:styleId="30">
    <w:name w:val="標題 3 字元"/>
    <w:link w:val="3"/>
    <w:uiPriority w:val="9"/>
    <w:semiHidden/>
    <w:locked/>
    <w:rPr>
      <w:rFonts w:ascii="Cambria" w:eastAsia="新細明體" w:hAnsi="Cambria" w:cs="Times New Roman"/>
      <w:b/>
      <w:bCs/>
      <w:spacing w:val="10"/>
      <w:sz w:val="36"/>
      <w:szCs w:val="36"/>
    </w:rPr>
  </w:style>
  <w:style w:type="character" w:customStyle="1" w:styleId="40">
    <w:name w:val="標題 4 字元"/>
    <w:link w:val="4"/>
    <w:uiPriority w:val="9"/>
    <w:semiHidden/>
    <w:locked/>
    <w:rPr>
      <w:rFonts w:ascii="Cambria" w:eastAsia="新細明體" w:hAnsi="Cambria" w:cs="Times New Roman"/>
      <w:spacing w:val="10"/>
      <w:sz w:val="36"/>
      <w:szCs w:val="36"/>
    </w:rPr>
  </w:style>
  <w:style w:type="character" w:customStyle="1" w:styleId="50">
    <w:name w:val="標題 5 字元"/>
    <w:link w:val="5"/>
    <w:uiPriority w:val="9"/>
    <w:semiHidden/>
    <w:locked/>
    <w:rPr>
      <w:rFonts w:ascii="Cambria" w:eastAsia="新細明體" w:hAnsi="Cambria" w:cs="Times New Roman"/>
      <w:b/>
      <w:bCs/>
      <w:spacing w:val="10"/>
      <w:sz w:val="36"/>
      <w:szCs w:val="36"/>
    </w:rPr>
  </w:style>
  <w:style w:type="character" w:customStyle="1" w:styleId="60">
    <w:name w:val="標題 6 字元"/>
    <w:link w:val="6"/>
    <w:uiPriority w:val="9"/>
    <w:semiHidden/>
    <w:locked/>
    <w:rPr>
      <w:rFonts w:ascii="Cambria" w:eastAsia="新細明體" w:hAnsi="Cambria" w:cs="Times New Roman"/>
      <w:spacing w:val="10"/>
      <w:sz w:val="36"/>
      <w:szCs w:val="36"/>
    </w:rPr>
  </w:style>
  <w:style w:type="character" w:customStyle="1" w:styleId="70">
    <w:name w:val="標題 7 字元"/>
    <w:link w:val="7"/>
    <w:uiPriority w:val="9"/>
    <w:semiHidden/>
    <w:locked/>
    <w:rPr>
      <w:rFonts w:ascii="Cambria" w:eastAsia="新細明體" w:hAnsi="Cambria" w:cs="Times New Roman"/>
      <w:b/>
      <w:bCs/>
      <w:spacing w:val="10"/>
      <w:sz w:val="36"/>
      <w:szCs w:val="36"/>
    </w:rPr>
  </w:style>
  <w:style w:type="character" w:customStyle="1" w:styleId="80">
    <w:name w:val="標題 8 字元"/>
    <w:link w:val="8"/>
    <w:uiPriority w:val="9"/>
    <w:semiHidden/>
    <w:locked/>
    <w:rPr>
      <w:rFonts w:ascii="Cambria" w:eastAsia="新細明體" w:hAnsi="Cambria" w:cs="Times New Roman"/>
      <w:spacing w:val="10"/>
      <w:sz w:val="36"/>
      <w:szCs w:val="36"/>
    </w:rPr>
  </w:style>
  <w:style w:type="character" w:customStyle="1" w:styleId="90">
    <w:name w:val="標題 9 字元"/>
    <w:link w:val="9"/>
    <w:uiPriority w:val="9"/>
    <w:semiHidden/>
    <w:locked/>
    <w:rPr>
      <w:rFonts w:ascii="Cambria" w:eastAsia="新細明體" w:hAnsi="Cambria" w:cs="Times New Roman"/>
      <w:spacing w:val="10"/>
      <w:sz w:val="36"/>
      <w:szCs w:val="36"/>
    </w:rPr>
  </w:style>
  <w:style w:type="paragraph" w:styleId="a0">
    <w:name w:val="Normal Indent"/>
    <w:basedOn w:val="a"/>
    <w:uiPriority w:val="99"/>
    <w:pPr>
      <w:ind w:left="480"/>
    </w:pPr>
  </w:style>
  <w:style w:type="paragraph" w:styleId="a4">
    <w:name w:val="Block Text"/>
    <w:basedOn w:val="a"/>
    <w:uiPriority w:val="99"/>
    <w:pPr>
      <w:ind w:left="758" w:right="28" w:hanging="730"/>
    </w:pPr>
    <w:rPr>
      <w:rFonts w:ascii="新細明體" w:eastAsia="新細明體" w:cs="新細明體"/>
      <w:spacing w:val="24"/>
    </w:rPr>
  </w:style>
  <w:style w:type="paragraph" w:styleId="21">
    <w:name w:val="Body Text 2"/>
    <w:basedOn w:val="a"/>
    <w:link w:val="22"/>
    <w:uiPriority w:val="99"/>
    <w:pPr>
      <w:spacing w:line="360" w:lineRule="exact"/>
    </w:pPr>
    <w:rPr>
      <w:rFonts w:ascii="新細明體" w:eastAsia="新細明體" w:cs="新細明體"/>
      <w:color w:val="0000FF"/>
      <w:u w:val="single"/>
    </w:rPr>
  </w:style>
  <w:style w:type="character" w:customStyle="1" w:styleId="22">
    <w:name w:val="本文 2 字元"/>
    <w:link w:val="21"/>
    <w:uiPriority w:val="99"/>
    <w:semiHidden/>
    <w:locked/>
    <w:rPr>
      <w:rFonts w:ascii="標楷體" w:eastAsia="標楷體" w:hAnsi="Times New Roman" w:cs="標楷體"/>
      <w:spacing w:val="10"/>
      <w:sz w:val="24"/>
      <w:szCs w:val="24"/>
    </w:rPr>
  </w:style>
  <w:style w:type="paragraph" w:styleId="a5">
    <w:name w:val="Body Text"/>
    <w:basedOn w:val="a"/>
    <w:link w:val="a6"/>
    <w:uiPriority w:val="99"/>
    <w:pPr>
      <w:ind w:right="28"/>
    </w:pPr>
    <w:rPr>
      <w:rFonts w:ascii="新細明體" w:eastAsia="新細明體" w:cs="新細明體"/>
    </w:rPr>
  </w:style>
  <w:style w:type="character" w:customStyle="1" w:styleId="a6">
    <w:name w:val="本文 字元"/>
    <w:link w:val="a5"/>
    <w:uiPriority w:val="99"/>
    <w:semiHidden/>
    <w:locked/>
    <w:rPr>
      <w:rFonts w:ascii="標楷體" w:eastAsia="標楷體" w:hAnsi="Times New Roman" w:cs="標楷體"/>
      <w:spacing w:val="10"/>
      <w:sz w:val="24"/>
      <w:szCs w:val="24"/>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line="240" w:lineRule="auto"/>
      <w:jc w:val="left"/>
    </w:pPr>
    <w:rPr>
      <w:rFonts w:ascii="細明體" w:eastAsia="細明體" w:hAnsi="Courier New" w:cs="細明體"/>
      <w:color w:val="008000"/>
      <w:spacing w:val="0"/>
      <w:kern w:val="0"/>
      <w:sz w:val="20"/>
      <w:szCs w:val="20"/>
    </w:rPr>
  </w:style>
  <w:style w:type="character" w:customStyle="1" w:styleId="HTML0">
    <w:name w:val="HTML 預設格式 字元"/>
    <w:link w:val="HTML"/>
    <w:uiPriority w:val="99"/>
    <w:locked/>
    <w:rPr>
      <w:rFonts w:ascii="Courier New" w:eastAsia="標楷體" w:hAnsi="Courier New" w:cs="Courier New"/>
      <w:spacing w:val="10"/>
      <w:sz w:val="20"/>
      <w:szCs w:val="20"/>
    </w:rPr>
  </w:style>
  <w:style w:type="paragraph" w:styleId="a7">
    <w:name w:val="footer"/>
    <w:basedOn w:val="a"/>
    <w:link w:val="a8"/>
    <w:uiPriority w:val="99"/>
    <w:pPr>
      <w:tabs>
        <w:tab w:val="center" w:pos="4153"/>
        <w:tab w:val="right" w:pos="8306"/>
      </w:tabs>
    </w:pPr>
    <w:rPr>
      <w:sz w:val="20"/>
      <w:szCs w:val="20"/>
    </w:rPr>
  </w:style>
  <w:style w:type="character" w:customStyle="1" w:styleId="a8">
    <w:name w:val="頁尾 字元"/>
    <w:link w:val="a7"/>
    <w:uiPriority w:val="99"/>
    <w:locked/>
    <w:rPr>
      <w:rFonts w:ascii="標楷體" w:eastAsia="標楷體" w:hAnsi="Times New Roman" w:cs="標楷體"/>
      <w:spacing w:val="10"/>
      <w:sz w:val="20"/>
      <w:szCs w:val="20"/>
    </w:rPr>
  </w:style>
  <w:style w:type="character" w:styleId="a9">
    <w:name w:val="page number"/>
    <w:uiPriority w:val="99"/>
    <w:rPr>
      <w:rFonts w:cs="Times New Roman"/>
    </w:rPr>
  </w:style>
  <w:style w:type="paragraph" w:styleId="23">
    <w:name w:val="Body Text Indent 2"/>
    <w:basedOn w:val="a"/>
    <w:link w:val="24"/>
    <w:uiPriority w:val="99"/>
    <w:pPr>
      <w:spacing w:before="240" w:line="288" w:lineRule="auto"/>
      <w:ind w:left="1118" w:hanging="402"/>
    </w:pPr>
    <w:rPr>
      <w:rFonts w:hAnsi="標楷體"/>
      <w:spacing w:val="0"/>
    </w:rPr>
  </w:style>
  <w:style w:type="character" w:customStyle="1" w:styleId="24">
    <w:name w:val="本文縮排 2 字元"/>
    <w:link w:val="23"/>
    <w:uiPriority w:val="99"/>
    <w:semiHidden/>
    <w:locked/>
    <w:rPr>
      <w:rFonts w:ascii="標楷體" w:eastAsia="標楷體" w:hAnsi="Times New Roman" w:cs="標楷體"/>
      <w:spacing w:val="10"/>
      <w:sz w:val="24"/>
      <w:szCs w:val="24"/>
    </w:rPr>
  </w:style>
  <w:style w:type="paragraph" w:styleId="31">
    <w:name w:val="Body Text Indent 3"/>
    <w:basedOn w:val="a"/>
    <w:link w:val="32"/>
    <w:uiPriority w:val="99"/>
    <w:pPr>
      <w:spacing w:line="360" w:lineRule="exact"/>
      <w:ind w:left="862" w:hanging="862"/>
    </w:pPr>
    <w:rPr>
      <w:rFonts w:ascii="新細明體" w:eastAsia="新細明體" w:cs="新細明體"/>
      <w:u w:val="single"/>
    </w:rPr>
  </w:style>
  <w:style w:type="character" w:customStyle="1" w:styleId="32">
    <w:name w:val="本文縮排 3 字元"/>
    <w:link w:val="31"/>
    <w:uiPriority w:val="99"/>
    <w:semiHidden/>
    <w:locked/>
    <w:rPr>
      <w:rFonts w:ascii="標楷體" w:eastAsia="標楷體" w:hAnsi="Times New Roman" w:cs="標楷體"/>
      <w:spacing w:val="10"/>
      <w:sz w:val="16"/>
      <w:szCs w:val="16"/>
    </w:rPr>
  </w:style>
  <w:style w:type="paragraph" w:styleId="aa">
    <w:name w:val="header"/>
    <w:basedOn w:val="a"/>
    <w:link w:val="ab"/>
    <w:uiPriority w:val="99"/>
    <w:pPr>
      <w:tabs>
        <w:tab w:val="center" w:pos="4153"/>
        <w:tab w:val="right" w:pos="8306"/>
      </w:tabs>
    </w:pPr>
    <w:rPr>
      <w:sz w:val="20"/>
      <w:szCs w:val="20"/>
    </w:rPr>
  </w:style>
  <w:style w:type="character" w:customStyle="1" w:styleId="ab">
    <w:name w:val="頁首 字元"/>
    <w:link w:val="aa"/>
    <w:uiPriority w:val="99"/>
    <w:semiHidden/>
    <w:locked/>
    <w:rPr>
      <w:rFonts w:ascii="標楷體" w:eastAsia="標楷體" w:hAnsi="Times New Roman" w:cs="標楷體"/>
      <w:spacing w:val="10"/>
      <w:sz w:val="20"/>
      <w:szCs w:val="20"/>
    </w:rPr>
  </w:style>
  <w:style w:type="paragraph" w:styleId="ac">
    <w:name w:val="List Paragraph"/>
    <w:basedOn w:val="a"/>
    <w:uiPriority w:val="34"/>
    <w:qFormat/>
    <w:rsid w:val="0076693F"/>
    <w:pPr>
      <w:widowControl/>
      <w:snapToGrid/>
      <w:spacing w:line="240" w:lineRule="auto"/>
      <w:ind w:leftChars="200" w:left="480"/>
      <w:jc w:val="left"/>
    </w:pPr>
    <w:rPr>
      <w:rFonts w:ascii="新細明體" w:eastAsia="新細明體" w:hAnsi="新細明體" w:cs="新細明體"/>
      <w:spacing w:val="0"/>
      <w:kern w:val="0"/>
    </w:rPr>
  </w:style>
  <w:style w:type="paragraph" w:styleId="ad">
    <w:name w:val="Balloon Text"/>
    <w:basedOn w:val="a"/>
    <w:link w:val="ae"/>
    <w:uiPriority w:val="99"/>
    <w:semiHidden/>
    <w:unhideWhenUsed/>
    <w:rsid w:val="00AF6339"/>
    <w:pPr>
      <w:spacing w:line="240" w:lineRule="auto"/>
    </w:pPr>
    <w:rPr>
      <w:rFonts w:asciiTheme="majorHAnsi" w:eastAsiaTheme="majorEastAsia" w:hAnsiTheme="majorHAnsi" w:cstheme="majorBidi"/>
      <w:sz w:val="18"/>
      <w:szCs w:val="18"/>
    </w:rPr>
  </w:style>
  <w:style w:type="character" w:customStyle="1" w:styleId="ae">
    <w:name w:val="註解方塊文字 字元"/>
    <w:basedOn w:val="a1"/>
    <w:link w:val="ad"/>
    <w:uiPriority w:val="99"/>
    <w:semiHidden/>
    <w:rsid w:val="00AF6339"/>
    <w:rPr>
      <w:rFonts w:asciiTheme="majorHAnsi" w:eastAsiaTheme="majorEastAsia" w:hAnsiTheme="majorHAnsi" w:cstheme="majorBidi"/>
      <w:spacing w:val="10"/>
      <w:kern w:val="2"/>
      <w:sz w:val="18"/>
      <w:szCs w:val="18"/>
    </w:rPr>
  </w:style>
  <w:style w:type="paragraph" w:styleId="af">
    <w:name w:val="Body Text Indent"/>
    <w:basedOn w:val="a"/>
    <w:link w:val="af0"/>
    <w:uiPriority w:val="99"/>
    <w:unhideWhenUsed/>
    <w:rsid w:val="007A01B8"/>
    <w:pPr>
      <w:spacing w:after="120"/>
      <w:ind w:leftChars="200" w:left="480"/>
    </w:pPr>
  </w:style>
  <w:style w:type="character" w:customStyle="1" w:styleId="af0">
    <w:name w:val="本文縮排 字元"/>
    <w:basedOn w:val="a1"/>
    <w:link w:val="af"/>
    <w:uiPriority w:val="99"/>
    <w:rsid w:val="007A01B8"/>
    <w:rPr>
      <w:rFonts w:ascii="標楷體" w:eastAsia="標楷體" w:hAnsi="Times New Roman" w:cs="標楷體"/>
      <w:spacing w:val="10"/>
      <w:kern w:val="2"/>
      <w:sz w:val="24"/>
      <w:szCs w:val="24"/>
    </w:rPr>
  </w:style>
  <w:style w:type="table" w:styleId="af1">
    <w:name w:val="Table Grid"/>
    <w:basedOn w:val="a2"/>
    <w:uiPriority w:val="59"/>
    <w:rsid w:val="00A36D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1"/>
    <w:uiPriority w:val="99"/>
    <w:semiHidden/>
    <w:unhideWhenUsed/>
    <w:rsid w:val="00D612D7"/>
    <w:rPr>
      <w:sz w:val="18"/>
      <w:szCs w:val="18"/>
    </w:rPr>
  </w:style>
  <w:style w:type="paragraph" w:styleId="af3">
    <w:name w:val="annotation text"/>
    <w:basedOn w:val="a"/>
    <w:link w:val="af4"/>
    <w:uiPriority w:val="99"/>
    <w:semiHidden/>
    <w:unhideWhenUsed/>
    <w:rsid w:val="00D612D7"/>
    <w:pPr>
      <w:jc w:val="left"/>
    </w:pPr>
  </w:style>
  <w:style w:type="character" w:customStyle="1" w:styleId="af4">
    <w:name w:val="註解文字 字元"/>
    <w:basedOn w:val="a1"/>
    <w:link w:val="af3"/>
    <w:uiPriority w:val="99"/>
    <w:semiHidden/>
    <w:rsid w:val="00D612D7"/>
    <w:rPr>
      <w:rFonts w:ascii="標楷體" w:eastAsia="標楷體" w:hAnsi="Times New Roman" w:cs="標楷體"/>
      <w:spacing w:val="10"/>
      <w:kern w:val="2"/>
      <w:sz w:val="24"/>
      <w:szCs w:val="24"/>
    </w:rPr>
  </w:style>
  <w:style w:type="paragraph" w:styleId="af5">
    <w:name w:val="annotation subject"/>
    <w:basedOn w:val="af3"/>
    <w:next w:val="af3"/>
    <w:link w:val="af6"/>
    <w:uiPriority w:val="99"/>
    <w:semiHidden/>
    <w:unhideWhenUsed/>
    <w:rsid w:val="00D612D7"/>
    <w:rPr>
      <w:b/>
      <w:bCs/>
    </w:rPr>
  </w:style>
  <w:style w:type="character" w:customStyle="1" w:styleId="af6">
    <w:name w:val="註解主旨 字元"/>
    <w:basedOn w:val="af4"/>
    <w:link w:val="af5"/>
    <w:uiPriority w:val="99"/>
    <w:semiHidden/>
    <w:rsid w:val="00D612D7"/>
    <w:rPr>
      <w:rFonts w:ascii="標楷體" w:eastAsia="標楷體" w:hAnsi="Times New Roman" w:cs="標楷體"/>
      <w:b/>
      <w:bCs/>
      <w:spacing w:val="10"/>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891437">
      <w:bodyDiv w:val="1"/>
      <w:marLeft w:val="0"/>
      <w:marRight w:val="0"/>
      <w:marTop w:val="0"/>
      <w:marBottom w:val="0"/>
      <w:divBdr>
        <w:top w:val="none" w:sz="0" w:space="0" w:color="auto"/>
        <w:left w:val="none" w:sz="0" w:space="0" w:color="auto"/>
        <w:bottom w:val="none" w:sz="0" w:space="0" w:color="auto"/>
        <w:right w:val="none" w:sz="0" w:space="0" w:color="auto"/>
      </w:divBdr>
    </w:div>
    <w:div w:id="515852508">
      <w:bodyDiv w:val="1"/>
      <w:marLeft w:val="0"/>
      <w:marRight w:val="0"/>
      <w:marTop w:val="0"/>
      <w:marBottom w:val="0"/>
      <w:divBdr>
        <w:top w:val="none" w:sz="0" w:space="0" w:color="auto"/>
        <w:left w:val="none" w:sz="0" w:space="0" w:color="auto"/>
        <w:bottom w:val="none" w:sz="0" w:space="0" w:color="auto"/>
        <w:right w:val="none" w:sz="0" w:space="0" w:color="auto"/>
      </w:divBdr>
      <w:divsChild>
        <w:div w:id="415713457">
          <w:marLeft w:val="547"/>
          <w:marRight w:val="0"/>
          <w:marTop w:val="0"/>
          <w:marBottom w:val="0"/>
          <w:divBdr>
            <w:top w:val="none" w:sz="0" w:space="0" w:color="auto"/>
            <w:left w:val="none" w:sz="0" w:space="0" w:color="auto"/>
            <w:bottom w:val="none" w:sz="0" w:space="0" w:color="auto"/>
            <w:right w:val="none" w:sz="0" w:space="0" w:color="auto"/>
          </w:divBdr>
        </w:div>
        <w:div w:id="1326860848">
          <w:marLeft w:val="547"/>
          <w:marRight w:val="0"/>
          <w:marTop w:val="0"/>
          <w:marBottom w:val="0"/>
          <w:divBdr>
            <w:top w:val="none" w:sz="0" w:space="0" w:color="auto"/>
            <w:left w:val="none" w:sz="0" w:space="0" w:color="auto"/>
            <w:bottom w:val="none" w:sz="0" w:space="0" w:color="auto"/>
            <w:right w:val="none" w:sz="0" w:space="0" w:color="auto"/>
          </w:divBdr>
        </w:div>
      </w:divsChild>
    </w:div>
    <w:div w:id="660432321">
      <w:bodyDiv w:val="1"/>
      <w:marLeft w:val="0"/>
      <w:marRight w:val="0"/>
      <w:marTop w:val="0"/>
      <w:marBottom w:val="0"/>
      <w:divBdr>
        <w:top w:val="none" w:sz="0" w:space="0" w:color="auto"/>
        <w:left w:val="none" w:sz="0" w:space="0" w:color="auto"/>
        <w:bottom w:val="none" w:sz="0" w:space="0" w:color="auto"/>
        <w:right w:val="none" w:sz="0" w:space="0" w:color="auto"/>
      </w:divBdr>
      <w:divsChild>
        <w:div w:id="552156412">
          <w:marLeft w:val="547"/>
          <w:marRight w:val="0"/>
          <w:marTop w:val="0"/>
          <w:marBottom w:val="0"/>
          <w:divBdr>
            <w:top w:val="none" w:sz="0" w:space="0" w:color="auto"/>
            <w:left w:val="none" w:sz="0" w:space="0" w:color="auto"/>
            <w:bottom w:val="none" w:sz="0" w:space="0" w:color="auto"/>
            <w:right w:val="none" w:sz="0" w:space="0" w:color="auto"/>
          </w:divBdr>
        </w:div>
      </w:divsChild>
    </w:div>
    <w:div w:id="874001356">
      <w:bodyDiv w:val="1"/>
      <w:marLeft w:val="0"/>
      <w:marRight w:val="0"/>
      <w:marTop w:val="0"/>
      <w:marBottom w:val="0"/>
      <w:divBdr>
        <w:top w:val="none" w:sz="0" w:space="0" w:color="auto"/>
        <w:left w:val="none" w:sz="0" w:space="0" w:color="auto"/>
        <w:bottom w:val="none" w:sz="0" w:space="0" w:color="auto"/>
        <w:right w:val="none" w:sz="0" w:space="0" w:color="auto"/>
      </w:divBdr>
    </w:div>
    <w:div w:id="1050962422">
      <w:bodyDiv w:val="1"/>
      <w:marLeft w:val="0"/>
      <w:marRight w:val="0"/>
      <w:marTop w:val="0"/>
      <w:marBottom w:val="0"/>
      <w:divBdr>
        <w:top w:val="none" w:sz="0" w:space="0" w:color="auto"/>
        <w:left w:val="none" w:sz="0" w:space="0" w:color="auto"/>
        <w:bottom w:val="none" w:sz="0" w:space="0" w:color="auto"/>
        <w:right w:val="none" w:sz="0" w:space="0" w:color="auto"/>
      </w:divBdr>
    </w:div>
    <w:div w:id="1052997851">
      <w:bodyDiv w:val="1"/>
      <w:marLeft w:val="0"/>
      <w:marRight w:val="0"/>
      <w:marTop w:val="0"/>
      <w:marBottom w:val="0"/>
      <w:divBdr>
        <w:top w:val="none" w:sz="0" w:space="0" w:color="auto"/>
        <w:left w:val="none" w:sz="0" w:space="0" w:color="auto"/>
        <w:bottom w:val="none" w:sz="0" w:space="0" w:color="auto"/>
        <w:right w:val="none" w:sz="0" w:space="0" w:color="auto"/>
      </w:divBdr>
      <w:divsChild>
        <w:div w:id="1747456820">
          <w:marLeft w:val="547"/>
          <w:marRight w:val="0"/>
          <w:marTop w:val="0"/>
          <w:marBottom w:val="0"/>
          <w:divBdr>
            <w:top w:val="none" w:sz="0" w:space="0" w:color="auto"/>
            <w:left w:val="none" w:sz="0" w:space="0" w:color="auto"/>
            <w:bottom w:val="none" w:sz="0" w:space="0" w:color="auto"/>
            <w:right w:val="none" w:sz="0" w:space="0" w:color="auto"/>
          </w:divBdr>
        </w:div>
      </w:divsChild>
    </w:div>
    <w:div w:id="1612544852">
      <w:bodyDiv w:val="1"/>
      <w:marLeft w:val="0"/>
      <w:marRight w:val="0"/>
      <w:marTop w:val="0"/>
      <w:marBottom w:val="0"/>
      <w:divBdr>
        <w:top w:val="none" w:sz="0" w:space="0" w:color="auto"/>
        <w:left w:val="none" w:sz="0" w:space="0" w:color="auto"/>
        <w:bottom w:val="none" w:sz="0" w:space="0" w:color="auto"/>
        <w:right w:val="none" w:sz="0" w:space="0" w:color="auto"/>
      </w:divBdr>
      <w:divsChild>
        <w:div w:id="209269132">
          <w:marLeft w:val="547"/>
          <w:marRight w:val="0"/>
          <w:marTop w:val="0"/>
          <w:marBottom w:val="0"/>
          <w:divBdr>
            <w:top w:val="none" w:sz="0" w:space="0" w:color="auto"/>
            <w:left w:val="none" w:sz="0" w:space="0" w:color="auto"/>
            <w:bottom w:val="none" w:sz="0" w:space="0" w:color="auto"/>
            <w:right w:val="none" w:sz="0" w:space="0" w:color="auto"/>
          </w:divBdr>
        </w:div>
        <w:div w:id="979384394">
          <w:marLeft w:val="547"/>
          <w:marRight w:val="0"/>
          <w:marTop w:val="0"/>
          <w:marBottom w:val="0"/>
          <w:divBdr>
            <w:top w:val="none" w:sz="0" w:space="0" w:color="auto"/>
            <w:left w:val="none" w:sz="0" w:space="0" w:color="auto"/>
            <w:bottom w:val="none" w:sz="0" w:space="0" w:color="auto"/>
            <w:right w:val="none" w:sz="0" w:space="0" w:color="auto"/>
          </w:divBdr>
        </w:div>
      </w:divsChild>
    </w:div>
    <w:div w:id="1963924995">
      <w:bodyDiv w:val="1"/>
      <w:marLeft w:val="0"/>
      <w:marRight w:val="0"/>
      <w:marTop w:val="0"/>
      <w:marBottom w:val="0"/>
      <w:divBdr>
        <w:top w:val="none" w:sz="0" w:space="0" w:color="auto"/>
        <w:left w:val="none" w:sz="0" w:space="0" w:color="auto"/>
        <w:bottom w:val="none" w:sz="0" w:space="0" w:color="auto"/>
        <w:right w:val="none" w:sz="0" w:space="0" w:color="auto"/>
      </w:divBdr>
      <w:divsChild>
        <w:div w:id="154343846">
          <w:marLeft w:val="547"/>
          <w:marRight w:val="0"/>
          <w:marTop w:val="0"/>
          <w:marBottom w:val="0"/>
          <w:divBdr>
            <w:top w:val="none" w:sz="0" w:space="0" w:color="auto"/>
            <w:left w:val="none" w:sz="0" w:space="0" w:color="auto"/>
            <w:bottom w:val="none" w:sz="0" w:space="0" w:color="auto"/>
            <w:right w:val="none" w:sz="0" w:space="0" w:color="auto"/>
          </w:divBdr>
        </w:div>
        <w:div w:id="84844361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5C61C-D1C7-4B9F-941A-B325C4014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314</Words>
  <Characters>1793</Characters>
  <Application>Microsoft Office Word</Application>
  <DocSecurity>0</DocSecurity>
  <Lines>14</Lines>
  <Paragraphs>4</Paragraphs>
  <ScaleCrop>false</ScaleCrop>
  <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證券商內部控制制度標準規範─內部控制制度修訂對照表（97年度）</dc:title>
  <dc:subject/>
  <dc:creator>0753</dc:creator>
  <cp:keywords/>
  <cp:lastModifiedBy>陳泓志</cp:lastModifiedBy>
  <cp:revision>13</cp:revision>
  <cp:lastPrinted>2021-04-06T07:58:00Z</cp:lastPrinted>
  <dcterms:created xsi:type="dcterms:W3CDTF">2025-08-07T03:10:00Z</dcterms:created>
  <dcterms:modified xsi:type="dcterms:W3CDTF">2025-09-17T03:17:00Z</dcterms:modified>
</cp:coreProperties>
</file>